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2101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教育局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28D4125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708775" cy="3681095"/>
            <wp:effectExtent l="0" t="0" r="15875" b="14605"/>
            <wp:docPr id="1" name="图片 1" descr="f687fae03b40a683a88022ea420af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687fae03b40a683a88022ea420af406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49401198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14</TotalTime>
  <ScaleCrop>false</ScaleCrop>
  <LinksUpToDate>false</LinksUpToDate>
  <CharactersWithSpaces>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李竞源</cp:lastModifiedBy>
  <dcterms:modified xsi:type="dcterms:W3CDTF">2026-06-25T04:48:51Z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eyJoZGlkIjoiZGY0NTJjZDFmODhkNTBiMjYyY2ZlMDBiYmIxMzcyNTgiLCJ1c2VySWQiOiIxNDQ5MjYyNDQ4In0=</vt:lpwstr>
  </property>
  <property fmtid="{D5CDD505-2E9C-101B-9397-08002B2CF9AE}" pid="4" name="ICV">
    <vt:lpwstr>232BDFE042C643888A51B3931A4D4076_13</vt:lpwstr>
  </property>
</Properties>
</file>