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41BF4">
      <w:pPr>
        <w:spacing w:line="590" w:lineRule="exact"/>
        <w:ind w:firstLine="1408" w:firstLineChars="400"/>
        <w:rPr>
          <w:rFonts w:ascii="仿宋_GB2312" w:hAnsi="仿宋_GB2312" w:eastAsia="仿宋_GB2312" w:cs="仿宋_GB2312"/>
          <w:b/>
          <w:bCs/>
          <w:kern w:val="0"/>
          <w:sz w:val="36"/>
          <w:szCs w:val="36"/>
          <w:shd w:val="clear" w:color="auto" w:fill="FFFFFF"/>
          <w:lang w:bidi="ar"/>
        </w:rPr>
      </w:pPr>
      <w:bookmarkStart w:id="0" w:name="OLE_LINK2"/>
      <w:r>
        <w:rPr>
          <w:rFonts w:hint="eastAsia" w:ascii="仿宋_GB2312" w:hAnsi="仿宋_GB2312" w:eastAsia="仿宋_GB2312" w:cs="仿宋_GB2312"/>
          <w:b/>
          <w:bCs/>
          <w:kern w:val="0"/>
          <w:sz w:val="36"/>
          <w:szCs w:val="36"/>
          <w:shd w:val="clear" w:color="auto" w:fill="FFFFFF"/>
          <w:lang w:bidi="ar"/>
        </w:rPr>
        <w:t>运动营养食品（耐力类：系列人参丸）</w:t>
      </w:r>
    </w:p>
    <w:p w14:paraId="355B6DE5">
      <w:pPr>
        <w:spacing w:line="590" w:lineRule="exact"/>
        <w:ind w:firstLine="2816" w:firstLineChars="800"/>
        <w:rPr>
          <w:rFonts w:ascii="仿宋_GB2312" w:hAnsi="仿宋_GB2312" w:eastAsia="仿宋_GB2312" w:cs="仿宋_GB2312"/>
          <w:b/>
          <w:bCs/>
          <w:kern w:val="0"/>
          <w:sz w:val="36"/>
          <w:szCs w:val="36"/>
          <w:shd w:val="clear" w:color="auto" w:fill="FFFFFF"/>
          <w:lang w:bidi="ar"/>
        </w:rPr>
      </w:pPr>
      <w:r>
        <w:rPr>
          <w:rFonts w:hint="eastAsia" w:ascii="仿宋_GB2312" w:hAnsi="仿宋_GB2312" w:eastAsia="仿宋_GB2312" w:cs="仿宋_GB2312"/>
          <w:b/>
          <w:bCs/>
          <w:kern w:val="0"/>
          <w:sz w:val="36"/>
          <w:szCs w:val="36"/>
          <w:shd w:val="clear" w:color="auto" w:fill="FFFFFF"/>
          <w:lang w:bidi="ar"/>
        </w:rPr>
        <w:t>生产许可审查方案</w:t>
      </w:r>
    </w:p>
    <w:bookmarkEnd w:id="0"/>
    <w:p w14:paraId="07A175E0">
      <w:pPr>
        <w:spacing w:line="590" w:lineRule="exact"/>
        <w:rPr>
          <w:rFonts w:hint="eastAsia" w:ascii="方正小标宋简体" w:hAnsi="方正小标宋简体" w:eastAsia="方正小标宋简体" w:cs="方正小标宋简体"/>
          <w:b/>
          <w:bCs/>
          <w:sz w:val="36"/>
          <w:szCs w:val="36"/>
        </w:rPr>
      </w:pPr>
    </w:p>
    <w:p w14:paraId="37DF6F36">
      <w:pPr>
        <w:widowControl/>
        <w:shd w:val="clear" w:color="auto" w:fill="FFFFFF"/>
        <w:spacing w:line="560" w:lineRule="atLeast"/>
        <w:ind w:firstLine="600"/>
        <w:jc w:val="left"/>
        <w:rPr>
          <w:rFonts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为做好运动营养食品（耐力类：系列人参丸）生产许可审查工作，依据《中华人民共和国食品安全法》及其实施条例、《食品生产许可管理办法》、《食品生产许可审查通则》（以下简称通则）等有关法律法规、规章和食品安全国家标准，制定运动营养食品（耐力类：系列人参丸）生产许可审查方案（以下简称方案）。</w:t>
      </w:r>
    </w:p>
    <w:p w14:paraId="08F7217A">
      <w:pPr>
        <w:widowControl/>
        <w:shd w:val="clear" w:color="auto" w:fill="FFFFFF"/>
        <w:spacing w:line="560" w:lineRule="atLeast"/>
        <w:ind w:firstLine="600"/>
        <w:jc w:val="left"/>
        <w:rPr>
          <w:rFonts w:hint="eastAsia" w:ascii="黑体" w:eastAsia="黑体"/>
          <w:sz w:val="28"/>
          <w:szCs w:val="28"/>
        </w:rPr>
      </w:pPr>
      <w:r>
        <w:rPr>
          <w:rFonts w:hint="eastAsia" w:ascii="黑体" w:eastAsia="黑体"/>
          <w:sz w:val="28"/>
          <w:szCs w:val="28"/>
        </w:rPr>
        <w:t>一、适用范围</w:t>
      </w:r>
    </w:p>
    <w:p w14:paraId="329E94D9">
      <w:pPr>
        <w:widowControl/>
        <w:shd w:val="clear" w:color="auto" w:fill="FFFFFF"/>
        <w:spacing w:line="560" w:lineRule="atLeast"/>
        <w:ind w:firstLine="544" w:firstLineChars="200"/>
        <w:jc w:val="left"/>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本方案中所称运动营养食品（耐力类：系列人参丸）指为满足运动人群（指每周参加体育锻炼3次及以上、每次持续时间30min及以上、每次运动强度达到中等及以上的人群）的生理代谢状态、运动能力及对某些营养成分的特殊需求而专门加工的预包装食品。以维生素B</w:t>
      </w:r>
      <w:r>
        <w:rPr>
          <w:rFonts w:hint="eastAsia" w:ascii="仿宋_GB2312" w:hAnsi="仿宋_GB2312" w:eastAsia="仿宋_GB2312" w:cs="仿宋_GB2312"/>
          <w:kern w:val="0"/>
          <w:sz w:val="28"/>
          <w:szCs w:val="28"/>
          <w:shd w:val="clear" w:color="auto" w:fill="FFFFFF"/>
          <w:vertAlign w:val="subscript"/>
          <w:lang w:bidi="ar"/>
        </w:rPr>
        <w:t>1</w:t>
      </w:r>
      <w:r>
        <w:rPr>
          <w:rFonts w:hint="eastAsia" w:ascii="仿宋_GB2312" w:hAnsi="仿宋_GB2312" w:eastAsia="仿宋_GB2312" w:cs="仿宋_GB2312"/>
          <w:kern w:val="0"/>
          <w:sz w:val="28"/>
          <w:szCs w:val="28"/>
          <w:shd w:val="clear" w:color="auto" w:fill="FFFFFF"/>
          <w:lang w:bidi="ar"/>
        </w:rPr>
        <w:t>和维生素B</w:t>
      </w:r>
      <w:r>
        <w:rPr>
          <w:rFonts w:hint="eastAsia" w:ascii="仿宋_GB2312" w:hAnsi="仿宋_GB2312" w:eastAsia="仿宋_GB2312" w:cs="仿宋_GB2312"/>
          <w:kern w:val="0"/>
          <w:sz w:val="28"/>
          <w:szCs w:val="28"/>
          <w:shd w:val="clear" w:color="auto" w:fill="FFFFFF"/>
          <w:vertAlign w:val="subscript"/>
          <w:lang w:bidi="ar"/>
        </w:rPr>
        <w:t>2</w:t>
      </w:r>
      <w:r>
        <w:rPr>
          <w:rFonts w:hint="eastAsia" w:ascii="仿宋_GB2312" w:hAnsi="仿宋_GB2312" w:eastAsia="仿宋_GB2312" w:cs="仿宋_GB2312"/>
          <w:kern w:val="0"/>
          <w:sz w:val="28"/>
          <w:szCs w:val="28"/>
          <w:shd w:val="clear" w:color="auto" w:fill="FFFFFF"/>
          <w:lang w:bidi="ar"/>
        </w:rPr>
        <w:t>为特征成分,适用于中长跑、慢跑、快走、自行车、游泳、划船、有氧健身操、舞蹈、户外运动等人群使用的运动营养食品。</w:t>
      </w:r>
    </w:p>
    <w:p w14:paraId="0D2008DF">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运动营养食品（耐力类：系列人参丸）的申证类别为特殊膳食食品，运动营养食品生产许可类别、类别编号、类别名称、品种明细及执行标准等见表1。</w:t>
      </w:r>
    </w:p>
    <w:p w14:paraId="059C77F4">
      <w:pPr>
        <w:tabs>
          <w:tab w:val="left" w:pos="624"/>
          <w:tab w:val="center" w:pos="4365"/>
        </w:tabs>
        <w:spacing w:before="177" w:beforeLines="30" w:after="177" w:afterLines="30" w:line="590" w:lineRule="exact"/>
        <w:jc w:val="center"/>
        <w:rPr>
          <w:rFonts w:ascii="仿宋"/>
          <w:b/>
          <w:sz w:val="24"/>
          <w:szCs w:val="24"/>
        </w:rPr>
      </w:pPr>
    </w:p>
    <w:p w14:paraId="1FE2BA52">
      <w:pPr>
        <w:tabs>
          <w:tab w:val="left" w:pos="624"/>
          <w:tab w:val="center" w:pos="4365"/>
        </w:tabs>
        <w:spacing w:before="177" w:beforeLines="30" w:after="177" w:afterLines="30" w:line="590" w:lineRule="exact"/>
        <w:jc w:val="center"/>
        <w:rPr>
          <w:rFonts w:hint="eastAsia" w:ascii="仿宋"/>
          <w:b/>
          <w:sz w:val="24"/>
          <w:szCs w:val="24"/>
        </w:rPr>
      </w:pPr>
      <w:r>
        <mc:AlternateContent>
          <mc:Choice Requires="wps">
            <w:drawing>
              <wp:anchor distT="45720" distB="45720" distL="114300" distR="114300" simplePos="0" relativeHeight="251659264" behindDoc="0" locked="0" layoutInCell="1" allowOverlap="1">
                <wp:simplePos x="0" y="0"/>
                <wp:positionH relativeFrom="column">
                  <wp:posOffset>5543550</wp:posOffset>
                </wp:positionH>
                <wp:positionV relativeFrom="paragraph">
                  <wp:posOffset>891540</wp:posOffset>
                </wp:positionV>
                <wp:extent cx="443230" cy="467360"/>
                <wp:effectExtent l="0" t="0" r="13970" b="8890"/>
                <wp:wrapSquare wrapText="bothSides"/>
                <wp:docPr id="2" name="文本框 2"/>
                <wp:cNvGraphicFramePr/>
                <a:graphic xmlns:a="http://schemas.openxmlformats.org/drawingml/2006/main">
                  <a:graphicData uri="http://schemas.microsoft.com/office/word/2010/wordprocessingShape">
                    <wps:wsp>
                      <wps:cNvSpPr txBox="1"/>
                      <wps:spPr>
                        <a:xfrm>
                          <a:off x="0" y="0"/>
                          <a:ext cx="443230" cy="467360"/>
                        </a:xfrm>
                        <a:prstGeom prst="rect">
                          <a:avLst/>
                        </a:prstGeom>
                        <a:solidFill>
                          <a:srgbClr val="FFFFFF"/>
                        </a:solidFill>
                        <a:ln>
                          <a:noFill/>
                        </a:ln>
                      </wps:spPr>
                      <wps:txbx>
                        <w:txbxContent>
                          <w:p w14:paraId="6ADB8BA9">
                            <w:pPr>
                              <w:rPr>
                                <w:rFonts w:hint="eastAsia"/>
                                <w:sz w:val="18"/>
                                <w:szCs w:val="18"/>
                              </w:rPr>
                            </w:pPr>
                            <w:r>
                              <w:rPr>
                                <w:rFonts w:hint="eastAsia"/>
                                <w:sz w:val="18"/>
                                <w:szCs w:val="18"/>
                              </w:rPr>
                              <w:t>1</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36.5pt;margin-top:70.2pt;height:36.8pt;width:34.9pt;mso-wrap-distance-bottom:3.6pt;mso-wrap-distance-left:9pt;mso-wrap-distance-right:9pt;mso-wrap-distance-top:3.6pt;z-index:251659264;mso-width-relative:page;mso-height-relative:margin;mso-height-percent:200;" fillcolor="#FFFFFF" filled="t" stroked="f" coordsize="21600,21600" o:gfxdata="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xUdbZ2AAAAAsBAAAPAAAAAAAAAAEAIAAAACIAAABk&#10;cnMvZG93bnJldi54bWxQSwECFAAUAAAACACHTuJALNrUD80BAACQAwAADgAAAAAAAAABACAAAAAn&#10;AQAAZHJzL2Uyb0RvYy54bWxQSwUGAAAAAAYABgBZAQAAZgUAAAAA&#10;">
                <v:fill on="t" focussize="0,0"/>
                <v:stroke on="f"/>
                <v:imagedata o:title=""/>
                <o:lock v:ext="edit" aspectratio="f"/>
                <v:textbox style="mso-fit-shape-to-text:t;">
                  <w:txbxContent>
                    <w:p w14:paraId="6ADB8BA9">
                      <w:pPr>
                        <w:rPr>
                          <w:rFonts w:hint="eastAsia"/>
                          <w:sz w:val="18"/>
                          <w:szCs w:val="18"/>
                        </w:rPr>
                      </w:pPr>
                      <w:r>
                        <w:rPr>
                          <w:rFonts w:hint="eastAsia"/>
                          <w:sz w:val="18"/>
                          <w:szCs w:val="18"/>
                        </w:rPr>
                        <w:t>1</w:t>
                      </w:r>
                    </w:p>
                  </w:txbxContent>
                </v:textbox>
                <w10:wrap type="square"/>
              </v:shape>
            </w:pict>
          </mc:Fallback>
        </mc:AlternateContent>
      </w:r>
    </w:p>
    <w:p w14:paraId="1A38850B">
      <w:pPr>
        <w:tabs>
          <w:tab w:val="left" w:pos="624"/>
          <w:tab w:val="center" w:pos="4365"/>
        </w:tabs>
        <w:spacing w:before="177" w:beforeLines="30" w:after="177" w:afterLines="30" w:line="590" w:lineRule="exact"/>
        <w:jc w:val="center"/>
        <w:rPr>
          <w:rFonts w:hint="eastAsia" w:ascii="仿宋"/>
          <w:b/>
          <w:sz w:val="24"/>
          <w:szCs w:val="24"/>
        </w:rPr>
      </w:pPr>
    </w:p>
    <w:p w14:paraId="041B79A9">
      <w:pPr>
        <w:tabs>
          <w:tab w:val="left" w:pos="624"/>
          <w:tab w:val="center" w:pos="4365"/>
        </w:tabs>
        <w:spacing w:before="177" w:beforeLines="30" w:after="177" w:afterLines="30" w:line="590" w:lineRule="exact"/>
        <w:jc w:val="center"/>
        <w:rPr>
          <w:rFonts w:hint="eastAsia" w:ascii="仿宋"/>
          <w:b/>
          <w:sz w:val="24"/>
          <w:szCs w:val="24"/>
        </w:rPr>
      </w:pPr>
      <w:bookmarkStart w:id="18" w:name="_GoBack"/>
      <w:bookmarkEnd w:id="18"/>
      <w:r>
        <w:rPr>
          <w:rFonts w:hint="eastAsia" w:ascii="仿宋"/>
          <w:b/>
          <w:sz w:val="24"/>
          <w:szCs w:val="24"/>
        </w:rPr>
        <w:t>表1 运动营养食品生产许可类别目录列表</w:t>
      </w:r>
    </w:p>
    <w:tbl>
      <w:tblPr>
        <w:tblStyle w:val="5"/>
        <w:tblW w:w="87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9"/>
        <w:gridCol w:w="619"/>
        <w:gridCol w:w="963"/>
        <w:gridCol w:w="2847"/>
        <w:gridCol w:w="3354"/>
      </w:tblGrid>
      <w:tr w14:paraId="2BA34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blHeader/>
          <w:jc w:val="center"/>
        </w:trPr>
        <w:tc>
          <w:tcPr>
            <w:tcW w:w="969"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3721DC8">
            <w:pPr>
              <w:spacing w:line="320" w:lineRule="exact"/>
              <w:ind w:left="40" w:leftChars="20" w:right="40" w:rightChars="20"/>
              <w:jc w:val="center"/>
              <w:rPr>
                <w:rFonts w:hint="eastAsia" w:ascii="宋体" w:eastAsia="宋体"/>
                <w:b/>
                <w:sz w:val="21"/>
                <w:szCs w:val="21"/>
              </w:rPr>
            </w:pPr>
            <w:r>
              <w:rPr>
                <w:rFonts w:hint="eastAsia" w:ascii="宋体" w:eastAsia="宋体"/>
                <w:b/>
                <w:sz w:val="21"/>
                <w:szCs w:val="21"/>
              </w:rPr>
              <w:t>申证</w:t>
            </w:r>
          </w:p>
          <w:p w14:paraId="747B5E16">
            <w:pPr>
              <w:spacing w:line="320" w:lineRule="exact"/>
              <w:ind w:left="40" w:leftChars="20" w:right="40" w:rightChars="20"/>
              <w:jc w:val="center"/>
              <w:rPr>
                <w:rFonts w:hint="eastAsia" w:ascii="宋体" w:eastAsia="宋体"/>
                <w:b/>
                <w:sz w:val="21"/>
                <w:szCs w:val="21"/>
              </w:rPr>
            </w:pPr>
            <w:r>
              <w:rPr>
                <w:rFonts w:hint="eastAsia" w:ascii="宋体" w:eastAsia="宋体"/>
                <w:b/>
                <w:sz w:val="21"/>
                <w:szCs w:val="21"/>
              </w:rPr>
              <w:t>类别</w:t>
            </w:r>
          </w:p>
        </w:tc>
        <w:tc>
          <w:tcPr>
            <w:tcW w:w="619"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F9D2F89">
            <w:pPr>
              <w:spacing w:line="320" w:lineRule="exact"/>
              <w:ind w:left="40" w:leftChars="20" w:right="40" w:rightChars="20"/>
              <w:jc w:val="center"/>
              <w:rPr>
                <w:rFonts w:hint="eastAsia" w:ascii="宋体" w:eastAsia="宋体"/>
                <w:b/>
                <w:sz w:val="21"/>
                <w:szCs w:val="21"/>
              </w:rPr>
            </w:pPr>
            <w:r>
              <w:rPr>
                <w:rFonts w:hint="eastAsia" w:ascii="宋体" w:eastAsia="宋体"/>
                <w:b/>
                <w:sz w:val="21"/>
                <w:szCs w:val="21"/>
              </w:rPr>
              <w:t>类别编号</w:t>
            </w:r>
          </w:p>
        </w:tc>
        <w:tc>
          <w:tcPr>
            <w:tcW w:w="96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B8D9F02">
            <w:pPr>
              <w:spacing w:line="320" w:lineRule="exact"/>
              <w:ind w:left="40" w:leftChars="20" w:right="40" w:rightChars="20"/>
              <w:jc w:val="center"/>
              <w:rPr>
                <w:rFonts w:hint="eastAsia" w:ascii="宋体" w:eastAsia="宋体"/>
                <w:b/>
                <w:sz w:val="21"/>
                <w:szCs w:val="21"/>
              </w:rPr>
            </w:pPr>
            <w:r>
              <w:rPr>
                <w:rFonts w:hint="eastAsia" w:ascii="宋体" w:eastAsia="宋体"/>
                <w:b/>
                <w:sz w:val="21"/>
                <w:szCs w:val="21"/>
              </w:rPr>
              <w:t>类别</w:t>
            </w:r>
          </w:p>
          <w:p w14:paraId="19578549">
            <w:pPr>
              <w:spacing w:line="320" w:lineRule="exact"/>
              <w:ind w:left="40" w:leftChars="20" w:right="40" w:rightChars="20"/>
              <w:jc w:val="center"/>
              <w:rPr>
                <w:rFonts w:hint="eastAsia" w:ascii="宋体" w:eastAsia="宋体"/>
                <w:b/>
                <w:sz w:val="21"/>
                <w:szCs w:val="21"/>
              </w:rPr>
            </w:pPr>
            <w:r>
              <w:rPr>
                <w:rFonts w:hint="eastAsia" w:ascii="宋体" w:eastAsia="宋体"/>
                <w:b/>
                <w:sz w:val="21"/>
                <w:szCs w:val="21"/>
              </w:rPr>
              <w:t>名称</w:t>
            </w:r>
          </w:p>
        </w:tc>
        <w:tc>
          <w:tcPr>
            <w:tcW w:w="284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230DCD0">
            <w:pPr>
              <w:spacing w:line="320" w:lineRule="exact"/>
              <w:ind w:left="40" w:leftChars="20" w:right="40" w:rightChars="20"/>
              <w:jc w:val="center"/>
              <w:rPr>
                <w:rFonts w:hint="eastAsia" w:ascii="宋体" w:eastAsia="宋体"/>
                <w:b/>
                <w:sz w:val="21"/>
                <w:szCs w:val="21"/>
              </w:rPr>
            </w:pPr>
            <w:r>
              <w:rPr>
                <w:rFonts w:hint="eastAsia" w:ascii="宋体" w:eastAsia="宋体"/>
                <w:b/>
                <w:sz w:val="21"/>
                <w:szCs w:val="21"/>
              </w:rPr>
              <w:t>品种明细</w:t>
            </w:r>
          </w:p>
        </w:tc>
        <w:tc>
          <w:tcPr>
            <w:tcW w:w="3354"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F6B7AC4">
            <w:pPr>
              <w:spacing w:line="320" w:lineRule="exact"/>
              <w:ind w:left="40" w:leftChars="20" w:right="40" w:rightChars="20"/>
              <w:jc w:val="center"/>
              <w:rPr>
                <w:rFonts w:hint="eastAsia" w:ascii="宋体" w:eastAsia="宋体"/>
                <w:b/>
                <w:sz w:val="21"/>
                <w:szCs w:val="21"/>
              </w:rPr>
            </w:pPr>
            <w:r>
              <w:rPr>
                <w:rFonts w:hint="eastAsia" w:ascii="宋体" w:eastAsia="宋体"/>
                <w:b/>
                <w:sz w:val="21"/>
                <w:szCs w:val="21"/>
              </w:rPr>
              <w:t>执行标准</w:t>
            </w:r>
            <w:r>
              <w:rPr>
                <w:rFonts w:hint="eastAsia" w:ascii="宋体" w:eastAsia="宋体"/>
                <w:b/>
                <w:sz w:val="21"/>
                <w:szCs w:val="21"/>
                <w:vertAlign w:val="superscript"/>
              </w:rPr>
              <w:t>a</w:t>
            </w:r>
          </w:p>
        </w:tc>
      </w:tr>
      <w:tr w14:paraId="09239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6" w:hRule="atLeast"/>
          <w:jc w:val="center"/>
        </w:trPr>
        <w:tc>
          <w:tcPr>
            <w:tcW w:w="969"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39219FC">
            <w:pPr>
              <w:spacing w:line="320" w:lineRule="exact"/>
              <w:ind w:left="40" w:leftChars="20" w:right="40" w:rightChars="20"/>
              <w:rPr>
                <w:rFonts w:hint="eastAsia" w:ascii="宋体" w:eastAsia="宋体"/>
                <w:sz w:val="21"/>
                <w:szCs w:val="21"/>
              </w:rPr>
            </w:pPr>
            <w:r>
              <w:rPr>
                <w:rFonts w:hint="eastAsia" w:ascii="宋体" w:eastAsia="宋体"/>
                <w:sz w:val="21"/>
                <w:szCs w:val="21"/>
              </w:rPr>
              <w:t>特殊膳食食品</w:t>
            </w:r>
          </w:p>
        </w:tc>
        <w:tc>
          <w:tcPr>
            <w:tcW w:w="619"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FC6865C">
            <w:pPr>
              <w:spacing w:line="320" w:lineRule="exact"/>
              <w:ind w:left="40" w:leftChars="20" w:right="40" w:rightChars="20"/>
              <w:rPr>
                <w:rFonts w:hint="eastAsia" w:ascii="宋体" w:eastAsia="宋体"/>
                <w:sz w:val="21"/>
                <w:szCs w:val="21"/>
              </w:rPr>
            </w:pPr>
            <w:r>
              <w:rPr>
                <w:rFonts w:hint="eastAsia" w:ascii="宋体" w:eastAsia="宋体"/>
                <w:sz w:val="21"/>
                <w:szCs w:val="21"/>
              </w:rPr>
              <w:t>3003</w:t>
            </w:r>
          </w:p>
        </w:tc>
        <w:tc>
          <w:tcPr>
            <w:tcW w:w="96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19ACFF6">
            <w:pPr>
              <w:spacing w:line="320" w:lineRule="exact"/>
              <w:ind w:left="40" w:leftChars="20" w:right="40" w:rightChars="20"/>
              <w:rPr>
                <w:rFonts w:hint="eastAsia" w:ascii="宋体" w:eastAsia="宋体"/>
                <w:sz w:val="21"/>
                <w:szCs w:val="21"/>
              </w:rPr>
            </w:pPr>
            <w:r>
              <w:rPr>
                <w:rFonts w:hint="eastAsia" w:ascii="宋体" w:eastAsia="宋体"/>
                <w:sz w:val="21"/>
                <w:szCs w:val="21"/>
              </w:rPr>
              <w:t>其他特殊膳食食品</w:t>
            </w:r>
          </w:p>
        </w:tc>
        <w:tc>
          <w:tcPr>
            <w:tcW w:w="284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789EB27C">
            <w:pPr>
              <w:spacing w:line="320" w:lineRule="exact"/>
              <w:ind w:left="40" w:leftChars="20" w:right="40" w:rightChars="20"/>
              <w:rPr>
                <w:rFonts w:hint="eastAsia" w:ascii="宋体" w:eastAsia="宋体"/>
                <w:sz w:val="21"/>
                <w:szCs w:val="21"/>
              </w:rPr>
            </w:pPr>
            <w:r>
              <w:rPr>
                <w:rFonts w:hint="eastAsia" w:ascii="宋体" w:eastAsia="宋体"/>
                <w:sz w:val="21"/>
                <w:szCs w:val="21"/>
              </w:rPr>
              <w:t>运动营养补充品（耐力类：系列人参丸）</w:t>
            </w:r>
          </w:p>
        </w:tc>
        <w:tc>
          <w:tcPr>
            <w:tcW w:w="3354"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553EBCC">
            <w:pPr>
              <w:spacing w:line="320" w:lineRule="exact"/>
              <w:ind w:left="40" w:leftChars="20" w:right="40" w:rightChars="20"/>
              <w:rPr>
                <w:rFonts w:hint="eastAsia" w:ascii="宋体" w:eastAsia="宋体"/>
                <w:sz w:val="21"/>
                <w:szCs w:val="21"/>
              </w:rPr>
            </w:pPr>
            <w:r>
              <w:rPr>
                <w:rFonts w:hint="eastAsia" w:ascii="宋体" w:eastAsia="宋体"/>
                <w:sz w:val="21"/>
                <w:szCs w:val="21"/>
              </w:rPr>
              <w:t>《食品安全国家标准 运动营养食品通则》（GB 24154）</w:t>
            </w:r>
          </w:p>
        </w:tc>
      </w:tr>
      <w:tr w14:paraId="02C77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jc w:val="center"/>
        </w:trPr>
        <w:tc>
          <w:tcPr>
            <w:tcW w:w="8752" w:type="dxa"/>
            <w:gridSpan w:val="5"/>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C38E00D">
            <w:pPr>
              <w:spacing w:line="320" w:lineRule="exact"/>
              <w:ind w:left="40" w:leftChars="20" w:right="40" w:rightChars="20"/>
              <w:rPr>
                <w:rFonts w:hint="eastAsia" w:ascii="宋体" w:eastAsia="宋体"/>
                <w:sz w:val="21"/>
                <w:szCs w:val="21"/>
              </w:rPr>
            </w:pPr>
            <w:r>
              <w:rPr>
                <w:rFonts w:hint="eastAsia" w:ascii="宋体" w:eastAsia="宋体"/>
                <w:sz w:val="21"/>
                <w:szCs w:val="21"/>
              </w:rPr>
              <w:t>a企业可制定严于食品安全国家标准的企业标准，在本企业使用。</w:t>
            </w:r>
          </w:p>
        </w:tc>
      </w:tr>
    </w:tbl>
    <w:p w14:paraId="02A273E3">
      <w:pPr>
        <w:spacing w:line="590" w:lineRule="exact"/>
        <w:ind w:firstLine="544" w:firstLineChars="200"/>
        <w:rPr>
          <w:rFonts w:ascii="仿宋_GB2312" w:hAnsi="仿宋_GB2312" w:eastAsia="仿宋_GB2312" w:cs="仿宋_GB2312"/>
          <w:kern w:val="0"/>
          <w:sz w:val="28"/>
          <w:szCs w:val="28"/>
          <w:shd w:val="clear" w:color="auto" w:fill="FFFFFF"/>
          <w:lang w:bidi="ar"/>
        </w:rPr>
      </w:pPr>
    </w:p>
    <w:p w14:paraId="4208EAD9">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本方案仅适用于辽宁同源健康产业有限公司运动营养食品（耐力类：系列人参丸）生产许可审查工作，并应与《生产许可审查通则》结合使用。</w:t>
      </w:r>
    </w:p>
    <w:p w14:paraId="1E365FE4">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企业不得以分装方式生产运动营养食品；仅有包装场地、工序、设备，没有完整的生产条件，不予生产许可。</w:t>
      </w:r>
    </w:p>
    <w:p w14:paraId="54776ED4">
      <w:pPr>
        <w:spacing w:line="590" w:lineRule="exact"/>
        <w:ind w:firstLine="544" w:firstLineChars="200"/>
        <w:rPr>
          <w:rFonts w:hint="eastAsia" w:ascii="黑体" w:eastAsia="黑体"/>
          <w:sz w:val="28"/>
          <w:szCs w:val="28"/>
        </w:rPr>
      </w:pPr>
      <w:r>
        <w:rPr>
          <w:rFonts w:hint="eastAsia" w:ascii="黑体" w:eastAsia="黑体"/>
          <w:sz w:val="28"/>
          <w:szCs w:val="28"/>
        </w:rPr>
        <w:t>二、引用文件</w:t>
      </w:r>
    </w:p>
    <w:p w14:paraId="4CF5F7C0">
      <w:pPr>
        <w:pStyle w:val="3"/>
        <w:ind w:firstLine="544" w:firstLineChars="200"/>
        <w:rPr>
          <w:rFonts w:hint="eastAsia" w:ascii="仿宋"/>
        </w:rPr>
      </w:pPr>
      <w:r>
        <w:rPr>
          <w:rFonts w:hint="eastAsia" w:ascii="仿宋_GB2312" w:hAnsi="仿宋_GB2312" w:eastAsia="仿宋_GB2312" w:cs="仿宋_GB2312"/>
          <w:kern w:val="0"/>
          <w:sz w:val="28"/>
          <w:szCs w:val="28"/>
          <w:shd w:val="clear" w:color="auto" w:fill="FFFFFF"/>
          <w:lang w:bidi="ar"/>
        </w:rPr>
        <w:t>本方案中引用的文件、标准通过引用成为本方案的内容, 凡是引用的文件、标准，其最新版本（包括所有的修改单）适用于本方案</w:t>
      </w:r>
      <w:r>
        <w:rPr>
          <w:rFonts w:hint="eastAsia" w:ascii="仿宋"/>
        </w:rPr>
        <w:t>。</w:t>
      </w:r>
    </w:p>
    <w:p w14:paraId="1D1410CA">
      <w:pPr>
        <w:spacing w:line="590" w:lineRule="exact"/>
        <w:ind w:firstLine="544" w:firstLineChars="200"/>
        <w:rPr>
          <w:rFonts w:hint="eastAsia" w:ascii="黑体" w:eastAsia="黑体"/>
          <w:sz w:val="28"/>
          <w:szCs w:val="28"/>
        </w:rPr>
      </w:pPr>
      <w:r>
        <w:rPr>
          <w:rFonts w:hint="eastAsia" w:ascii="黑体" w:eastAsia="黑体"/>
          <w:sz w:val="28"/>
          <w:szCs w:val="28"/>
        </w:rPr>
        <w:t>三、生产许可条件审查</w:t>
      </w:r>
    </w:p>
    <w:p w14:paraId="2CCB0E60">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企业对提交的申报材料的真实性、一致性负责。</w:t>
      </w:r>
    </w:p>
    <w:p w14:paraId="3AB8860A">
      <w:pPr>
        <w:spacing w:line="590" w:lineRule="exact"/>
        <w:ind w:firstLine="544" w:firstLineChars="200"/>
        <w:rPr>
          <w:rFonts w:hint="eastAsia" w:ascii="楷体" w:eastAsia="楷体"/>
          <w:sz w:val="28"/>
          <w:szCs w:val="28"/>
        </w:rPr>
      </w:pPr>
      <w:r>
        <w:rPr>
          <w:rFonts w:hint="eastAsia" w:ascii="楷体" w:eastAsia="楷体"/>
          <w:sz w:val="28"/>
          <w:szCs w:val="28"/>
        </w:rPr>
        <w:t>（一）管理制度</w:t>
      </w:r>
    </w:p>
    <w:p w14:paraId="4D0EEF70">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bookmarkStart w:id="1" w:name="_Toc21138"/>
      <w:bookmarkEnd w:id="1"/>
      <w:bookmarkStart w:id="2" w:name="_Toc416939935"/>
      <w:bookmarkEnd w:id="2"/>
      <w:bookmarkStart w:id="3" w:name="_Toc415228647"/>
      <w:r>
        <w:rPr>
          <w:rFonts w:hint="eastAsia" w:ascii="仿宋_GB2312" w:hAnsi="仿宋_GB2312" w:eastAsia="仿宋_GB2312" w:cs="仿宋_GB2312"/>
          <w:kern w:val="0"/>
          <w:sz w:val="28"/>
          <w:szCs w:val="28"/>
          <w:shd w:val="clear" w:color="auto" w:fill="FFFFFF"/>
          <w:lang w:bidi="ar"/>
        </w:rPr>
        <w:t>企业各项管理制度除应符合《中华人民共和国食品安全法》、《食品生产许可管理办法》和《食品生产许可审查通则》的要求外，还应建立符合：</w:t>
      </w:r>
    </w:p>
    <w:p w14:paraId="6CC21BBA">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1.进货查验记录制度</w:t>
      </w:r>
      <w:bookmarkEnd w:id="3"/>
    </w:p>
    <w:p w14:paraId="2DF8938A">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lang w:bidi="ar"/>
        </w:rPr>
        <mc:AlternateContent>
          <mc:Choice Requires="wps">
            <w:drawing>
              <wp:anchor distT="45720" distB="45720" distL="114300" distR="114300" simplePos="0" relativeHeight="251660288" behindDoc="0" locked="0" layoutInCell="1" allowOverlap="1">
                <wp:simplePos x="0" y="0"/>
                <wp:positionH relativeFrom="column">
                  <wp:posOffset>5535295</wp:posOffset>
                </wp:positionH>
                <wp:positionV relativeFrom="paragraph">
                  <wp:posOffset>555625</wp:posOffset>
                </wp:positionV>
                <wp:extent cx="443230" cy="467360"/>
                <wp:effectExtent l="0" t="0" r="13970" b="8890"/>
                <wp:wrapSquare wrapText="bothSides"/>
                <wp:docPr id="4" name="文本框 4"/>
                <wp:cNvGraphicFramePr/>
                <a:graphic xmlns:a="http://schemas.openxmlformats.org/drawingml/2006/main">
                  <a:graphicData uri="http://schemas.microsoft.com/office/word/2010/wordprocessingShape">
                    <wps:wsp>
                      <wps:cNvSpPr txBox="1"/>
                      <wps:spPr>
                        <a:xfrm>
                          <a:off x="0" y="0"/>
                          <a:ext cx="443230" cy="467360"/>
                        </a:xfrm>
                        <a:prstGeom prst="rect">
                          <a:avLst/>
                        </a:prstGeom>
                        <a:solidFill>
                          <a:srgbClr val="FFFFFF"/>
                        </a:solidFill>
                        <a:ln>
                          <a:noFill/>
                        </a:ln>
                      </wps:spPr>
                      <wps:txbx>
                        <w:txbxContent>
                          <w:p w14:paraId="6AA86166">
                            <w:pPr>
                              <w:rPr>
                                <w:rFonts w:hint="eastAsia"/>
                                <w:sz w:val="18"/>
                                <w:szCs w:val="18"/>
                              </w:rPr>
                            </w:pPr>
                            <w:r>
                              <w:rPr>
                                <w:rFonts w:hint="eastAsia"/>
                                <w:sz w:val="18"/>
                                <w:szCs w:val="18"/>
                              </w:rPr>
                              <w:t>2</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35.85pt;margin-top:43.75pt;height:36.8pt;width:34.9pt;mso-wrap-distance-bottom:3.6pt;mso-wrap-distance-left:9pt;mso-wrap-distance-right:9pt;mso-wrap-distance-top:3.6pt;z-index:251660288;mso-width-relative:page;mso-height-relative:margin;mso-height-percent:200;" fillcolor="#FFFFFF" filled="t" stroked="f" coordsize="21600,21600" o:gfxdata="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vPTjk9YAAAAKAQAADwAAAAAAAAABACAAAAAiAAAAZHJz&#10;L2Rvd25yZXYueG1sUEsBAhQAFAAAAAgAh07iQCDNVjHNAQAAkAMAAA4AAAAAAAAAAQAgAAAAJQEA&#10;AGRycy9lMm9Eb2MueG1sUEsFBgAAAAAGAAYAWQEAAGQFAAAAAA==&#10;">
                <v:fill on="t" focussize="0,0"/>
                <v:stroke on="f"/>
                <v:imagedata o:title=""/>
                <o:lock v:ext="edit" aspectratio="f"/>
                <v:textbox style="mso-fit-shape-to-text:t;">
                  <w:txbxContent>
                    <w:p w14:paraId="6AA86166">
                      <w:pPr>
                        <w:rPr>
                          <w:rFonts w:hint="eastAsia"/>
                          <w:sz w:val="18"/>
                          <w:szCs w:val="18"/>
                        </w:rPr>
                      </w:pPr>
                      <w:r>
                        <w:rPr>
                          <w:rFonts w:hint="eastAsia"/>
                          <w:sz w:val="18"/>
                          <w:szCs w:val="18"/>
                        </w:rPr>
                        <w:t>2</w:t>
                      </w:r>
                    </w:p>
                  </w:txbxContent>
                </v:textbox>
                <w10:wrap type="square"/>
              </v:shape>
            </w:pict>
          </mc:Fallback>
        </mc:AlternateContent>
      </w:r>
      <w:r>
        <w:rPr>
          <w:rFonts w:hint="eastAsia" w:ascii="仿宋_GB2312" w:hAnsi="仿宋_GB2312" w:eastAsia="仿宋_GB2312" w:cs="仿宋_GB2312"/>
          <w:kern w:val="0"/>
          <w:sz w:val="28"/>
          <w:szCs w:val="28"/>
          <w:shd w:val="clear" w:color="auto" w:fill="FFFFFF"/>
          <w:lang w:bidi="ar"/>
        </w:rPr>
        <w:t>（1）所用原料不得使用世界反兴奋剂机构禁用物质，使用既是食品又是药品的物品、新食品原料要对供应商的上游原料、生产环境和生产工艺可能带入的风险进行评估与控制。</w:t>
      </w:r>
    </w:p>
    <w:p w14:paraId="143596C7">
      <w:pPr>
        <w:ind w:firstLine="544" w:firstLineChars="200"/>
        <w:rPr>
          <w:rFonts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2）制定主要原辅料及营养强化剂、包装容器供应商的管理制度和审核制度。供应商的审核内容至少包括：供应商的资质证明文件、质量安全标准、检验报告；供应商是生产企业的还应审核其原辅料采购控制能力、生产过程控制能力、设备设施条件、检验能力、不合格品管控能力,鼓励生产企业对主要原料供应商的质量管理体系进行评价，并形成质量审核报告。</w:t>
      </w:r>
    </w:p>
    <w:p w14:paraId="270604B2">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（3）采用进口原辅料的生产企业，应审核进口原辅料供应商、贸易商的资质证明文件、质量标准及每批原辅料由出入境检验检疫部门出具的相关合格证明材料。</w:t>
      </w:r>
    </w:p>
    <w:p w14:paraId="4ED7BC47">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（4）以来自公共供水系统的水为生产用水源的，供水系统出入口应增设安全卫生设施，防止异物进入。</w:t>
      </w:r>
    </w:p>
    <w:p w14:paraId="5B15EAA3">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2.生产过程控制制度</w:t>
      </w:r>
    </w:p>
    <w:p w14:paraId="20B34DD3">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生产过程需符合GB 14881《</w:t>
      </w:r>
      <w:r>
        <w:rPr>
          <w:rFonts w:hint="eastAsia" w:ascii="仿宋_GB2312" w:hAnsi="仿宋_GB2312" w:eastAsia="仿宋_GB2312" w:cs="仿宋_GB2312"/>
          <w:kern w:val="0"/>
          <w:sz w:val="28"/>
          <w:szCs w:val="28"/>
          <w:shd w:val="clear" w:color="auto" w:fill="FFFFFF"/>
          <w:lang w:bidi="ar"/>
        </w:rPr>
        <w:fldChar w:fldCharType="begin"/>
      </w:r>
      <w:r>
        <w:rPr>
          <w:rFonts w:hint="eastAsia" w:ascii="仿宋_GB2312" w:hAnsi="仿宋_GB2312" w:eastAsia="仿宋_GB2312" w:cs="仿宋_GB2312"/>
          <w:kern w:val="0"/>
          <w:sz w:val="28"/>
          <w:szCs w:val="28"/>
          <w:shd w:val="clear" w:color="auto" w:fill="FFFFFF"/>
          <w:lang w:bidi="ar"/>
        </w:rPr>
        <w:instrText xml:space="preserve"> HYPERLINK "http://down.foodmate.net/special/standard/42.html" \t "http://www.foodmate.net/zhiliang/qs/_blank" </w:instrText>
      </w:r>
      <w:r>
        <w:rPr>
          <w:rFonts w:hint="eastAsia" w:ascii="仿宋_GB2312" w:hAnsi="仿宋_GB2312" w:eastAsia="仿宋_GB2312" w:cs="仿宋_GB2312"/>
          <w:kern w:val="0"/>
          <w:sz w:val="28"/>
          <w:szCs w:val="28"/>
          <w:shd w:val="clear" w:color="auto" w:fill="FFFFFF"/>
          <w:lang w:bidi="ar"/>
        </w:rPr>
        <w:fldChar w:fldCharType="separate"/>
      </w:r>
      <w:r>
        <w:rPr>
          <w:rFonts w:ascii="仿宋_GB2312" w:hAnsi="仿宋_GB2312" w:eastAsia="仿宋_GB2312" w:cs="仿宋_GB2312"/>
          <w:kern w:val="0"/>
          <w:sz w:val="28"/>
          <w:szCs w:val="28"/>
          <w:shd w:val="clear" w:color="auto" w:fill="FFFFFF"/>
          <w:lang w:bidi="ar"/>
        </w:rPr>
        <w:t>食品安全国家标准</w:t>
      </w:r>
      <w:r>
        <w:rPr>
          <w:rFonts w:ascii="仿宋_GB2312" w:hAnsi="仿宋_GB2312" w:eastAsia="仿宋_GB2312" w:cs="仿宋_GB2312"/>
          <w:kern w:val="0"/>
          <w:sz w:val="28"/>
          <w:szCs w:val="28"/>
          <w:shd w:val="clear" w:color="auto" w:fill="FFFFFF"/>
          <w:lang w:bidi="ar"/>
        </w:rPr>
        <w:fldChar w:fldCharType="end"/>
      </w:r>
      <w:r>
        <w:rPr>
          <w:rFonts w:ascii="Calibri" w:hAnsi="Calibri" w:eastAsia="仿宋_GB2312" w:cs="Calibri"/>
          <w:kern w:val="0"/>
          <w:sz w:val="28"/>
          <w:szCs w:val="28"/>
          <w:shd w:val="clear" w:color="auto" w:fill="FFFFFF"/>
          <w:lang w:bidi="ar"/>
        </w:rPr>
        <w:t> </w:t>
      </w:r>
      <w:r>
        <w:rPr>
          <w:rFonts w:hint="eastAsia" w:ascii="仿宋_GB2312" w:hAnsi="仿宋_GB2312" w:eastAsia="仿宋_GB2312" w:cs="仿宋_GB2312"/>
          <w:kern w:val="0"/>
          <w:sz w:val="28"/>
          <w:szCs w:val="28"/>
          <w:shd w:val="clear" w:color="auto" w:fill="FFFFFF"/>
          <w:lang w:bidi="ar"/>
        </w:rPr>
        <w:t>食品生产通用卫生规范》</w:t>
      </w:r>
      <w:r>
        <w:rPr>
          <w:rFonts w:ascii="仿宋_GB2312" w:hAnsi="仿宋_GB2312" w:eastAsia="仿宋_GB2312" w:cs="仿宋_GB2312"/>
          <w:kern w:val="0"/>
          <w:sz w:val="28"/>
          <w:szCs w:val="28"/>
          <w:shd w:val="clear" w:color="auto" w:fill="FFFFFF"/>
          <w:lang w:bidi="ar"/>
        </w:rPr>
        <w:t>和</w:t>
      </w:r>
      <w:r>
        <w:rPr>
          <w:rFonts w:hint="eastAsia" w:ascii="仿宋_GB2312" w:hAnsi="仿宋_GB2312" w:eastAsia="仿宋_GB2312" w:cs="仿宋_GB2312"/>
          <w:kern w:val="0"/>
          <w:sz w:val="28"/>
          <w:szCs w:val="28"/>
          <w:shd w:val="clear" w:color="auto" w:fill="FFFFFF"/>
          <w:lang w:bidi="ar"/>
        </w:rPr>
        <w:t>相应食品类别生产规范的要求。</w:t>
      </w:r>
    </w:p>
    <w:p w14:paraId="09E8AA3D">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应建立生产过程管理制度，对生产过程中调配、灌装、杀菌、清洗消毒、储运和交付等环节质量安全进行管控 。配料要有复核、防止投料种类和数量有误。</w:t>
      </w:r>
    </w:p>
    <w:p w14:paraId="296E01A8">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lang w:bidi="ar"/>
        </w:rPr>
        <mc:AlternateContent>
          <mc:Choice Requires="wps">
            <w:drawing>
              <wp:anchor distT="45720" distB="45720" distL="114300" distR="114300" simplePos="0" relativeHeight="251661312" behindDoc="0" locked="0" layoutInCell="1" allowOverlap="1">
                <wp:simplePos x="0" y="0"/>
                <wp:positionH relativeFrom="column">
                  <wp:posOffset>5598795</wp:posOffset>
                </wp:positionH>
                <wp:positionV relativeFrom="paragraph">
                  <wp:posOffset>1517650</wp:posOffset>
                </wp:positionV>
                <wp:extent cx="443230" cy="467360"/>
                <wp:effectExtent l="0" t="0" r="13970" b="8890"/>
                <wp:wrapSquare wrapText="bothSides"/>
                <wp:docPr id="1" name="文本框 1"/>
                <wp:cNvGraphicFramePr/>
                <a:graphic xmlns:a="http://schemas.openxmlformats.org/drawingml/2006/main">
                  <a:graphicData uri="http://schemas.microsoft.com/office/word/2010/wordprocessingShape">
                    <wps:wsp>
                      <wps:cNvSpPr txBox="1"/>
                      <wps:spPr>
                        <a:xfrm>
                          <a:off x="0" y="0"/>
                          <a:ext cx="443230" cy="467360"/>
                        </a:xfrm>
                        <a:prstGeom prst="rect">
                          <a:avLst/>
                        </a:prstGeom>
                        <a:solidFill>
                          <a:srgbClr val="FFFFFF"/>
                        </a:solidFill>
                        <a:ln>
                          <a:noFill/>
                        </a:ln>
                      </wps:spPr>
                      <wps:txbx>
                        <w:txbxContent>
                          <w:p w14:paraId="0386C104">
                            <w:pPr>
                              <w:rPr>
                                <w:rFonts w:hint="eastAsia"/>
                                <w:sz w:val="18"/>
                                <w:szCs w:val="18"/>
                              </w:rPr>
                            </w:pPr>
                            <w:r>
                              <w:rPr>
                                <w:rFonts w:hint="eastAsia"/>
                                <w:sz w:val="18"/>
                                <w:szCs w:val="18"/>
                              </w:rPr>
                              <w:t>3</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40.85pt;margin-top:119.5pt;height:36.8pt;width:34.9pt;mso-wrap-distance-bottom:3.6pt;mso-wrap-distance-left:9pt;mso-wrap-distance-right:9pt;mso-wrap-distance-top:3.6pt;z-index:251661312;mso-width-relative:page;mso-height-relative:margin;mso-height-percent:200;" fillcolor="#FFFFFF" filled="t" stroked="f" coordsize="21600,21600" o:gfxdata="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IK3j42QAAAAsBAAAPAAAAAAAAAAEAIAAAACIAAABk&#10;cnMvZG93bnJldi54bWxQSwECFAAUAAAACACHTuJAqtGVEMwBAACQAwAADgAAAAAAAAABACAAAAAo&#10;AQAAZHJzL2Uyb0RvYy54bWxQSwUGAAAAAAYABgBZAQAAZgUAAAAA&#10;">
                <v:fill on="t" focussize="0,0"/>
                <v:stroke on="f"/>
                <v:imagedata o:title=""/>
                <o:lock v:ext="edit" aspectratio="f"/>
                <v:textbox style="mso-fit-shape-to-text:t;">
                  <w:txbxContent>
                    <w:p w14:paraId="0386C104">
                      <w:pPr>
                        <w:rPr>
                          <w:rFonts w:hint="eastAsia"/>
                          <w:sz w:val="18"/>
                          <w:szCs w:val="18"/>
                        </w:rPr>
                      </w:pPr>
                      <w:r>
                        <w:rPr>
                          <w:rFonts w:hint="eastAsia"/>
                          <w:sz w:val="18"/>
                          <w:szCs w:val="18"/>
                        </w:rPr>
                        <w:t>3</w:t>
                      </w:r>
                    </w:p>
                  </w:txbxContent>
                </v:textbox>
                <w10:wrap type="square"/>
              </v:shape>
            </w:pict>
          </mc:Fallback>
        </mc:AlternateContent>
      </w:r>
      <w:r>
        <w:rPr>
          <w:rFonts w:hint="eastAsia" w:ascii="仿宋_GB2312" w:hAnsi="仿宋_GB2312" w:eastAsia="仿宋_GB2312" w:cs="仿宋_GB2312"/>
          <w:kern w:val="0"/>
          <w:sz w:val="28"/>
          <w:szCs w:val="28"/>
          <w:shd w:val="clear" w:color="auto" w:fill="FFFFFF"/>
          <w:lang w:bidi="ar"/>
        </w:rPr>
        <w:t>（1）应制定清场管理制度。各生产工序在生产结束后、更换品种或批次前，应对现场进行清场并进行记录。清场工作包括剩余物料的处理，中间品、成品的处理，废弃物的处理，生产用具的处理，外包工序的清场。记录内容包括：工序、品名、生产批次、清场时间、检查项目及结果等，清场负责人及复查人应在记录上签名，同时对清场的结果进行物料平衡的验证。</w:t>
      </w:r>
    </w:p>
    <w:p w14:paraId="584814FF">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（2）应制定清洁管理制度。各生产工序在生产结束后、下次生产前，对车间环境、设备设施、工服和人员进行清洁、验证并记录。记录内容包括：清洁对象、清洁方式、清洁频次、清洁验证结果等。</w:t>
      </w:r>
    </w:p>
    <w:p w14:paraId="666D6C6F">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（3）应制定食品添加剂和食品营养强化剂使用制度。运动营养食品食品添加剂的使用可参照《食品安全国家标准 食品添加剂使用标准》（GB 2760）中相同或相近食品类别允许使用的添加剂种类和使用量；营养强化剂的使用应符合《食品安全国家标准 食品营养强化剂使用标准》（GB 14880）。食品添加剂和营养强化剂的质量规格应符合相应的标准和/或有关规定。</w:t>
      </w:r>
    </w:p>
    <w:p w14:paraId="0DEC71C1">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3.出厂检验记录制度</w:t>
      </w:r>
    </w:p>
    <w:p w14:paraId="501429DB">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产品出厂检验应依据产品执行标准规定的所有检验项目进行逐批检验。不能自行检验的项目，应与具有合法资质的检验机构签定委托服务合同，出具检验报告，确保批次产品合格方可出厂。本方案中的批次，是指按照同一产品配方，在同一条生产线一个生产周期内一次投料、一次连续包装，以相同工艺持续生产出具有预期均一质量及稳定性的一批成品。</w:t>
      </w:r>
    </w:p>
    <w:p w14:paraId="0B4A19D1">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自行检验的项目，企业可以使用快速检测方法及设备进行产品检验，为保证数据准确，应定期与食品安全国家标准规定的检验方法进行比对或者验证，当检验结果呈阳性或可疑时，应使用食品安全国家标准规定的检验方法进行确认。企业应每年至少1次对出厂项目的检验能力进行验证。</w:t>
      </w:r>
    </w:p>
    <w:p w14:paraId="086491F9">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lang w:bidi="ar"/>
        </w:rPr>
        <mc:AlternateContent>
          <mc:Choice Requires="wps">
            <w:drawing>
              <wp:anchor distT="45720" distB="45720" distL="114300" distR="114300" simplePos="0" relativeHeight="251662336" behindDoc="0" locked="0" layoutInCell="1" allowOverlap="1">
                <wp:simplePos x="0" y="0"/>
                <wp:positionH relativeFrom="column">
                  <wp:posOffset>5532755</wp:posOffset>
                </wp:positionH>
                <wp:positionV relativeFrom="paragraph">
                  <wp:posOffset>381000</wp:posOffset>
                </wp:positionV>
                <wp:extent cx="443230" cy="467360"/>
                <wp:effectExtent l="0" t="0" r="13970" b="8890"/>
                <wp:wrapSquare wrapText="bothSides"/>
                <wp:docPr id="3" name="文本框 3"/>
                <wp:cNvGraphicFramePr/>
                <a:graphic xmlns:a="http://schemas.openxmlformats.org/drawingml/2006/main">
                  <a:graphicData uri="http://schemas.microsoft.com/office/word/2010/wordprocessingShape">
                    <wps:wsp>
                      <wps:cNvSpPr txBox="1"/>
                      <wps:spPr>
                        <a:xfrm>
                          <a:off x="0" y="0"/>
                          <a:ext cx="443230" cy="467360"/>
                        </a:xfrm>
                        <a:prstGeom prst="rect">
                          <a:avLst/>
                        </a:prstGeom>
                        <a:solidFill>
                          <a:srgbClr val="FFFFFF"/>
                        </a:solidFill>
                        <a:ln>
                          <a:noFill/>
                        </a:ln>
                      </wps:spPr>
                      <wps:txbx>
                        <w:txbxContent>
                          <w:p w14:paraId="4B8A94C1">
                            <w:pPr>
                              <w:rPr>
                                <w:rFonts w:hint="eastAsia"/>
                                <w:sz w:val="18"/>
                                <w:szCs w:val="18"/>
                              </w:rPr>
                            </w:pPr>
                            <w:r>
                              <w:rPr>
                                <w:rFonts w:hint="eastAsia"/>
                                <w:sz w:val="18"/>
                                <w:szCs w:val="18"/>
                              </w:rPr>
                              <w:t>4</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35.65pt;margin-top:30pt;height:36.8pt;width:34.9pt;mso-wrap-distance-bottom:3.6pt;mso-wrap-distance-left:9pt;mso-wrap-distance-right:9pt;mso-wrap-distance-top:3.6pt;z-index:251662336;mso-width-relative:page;mso-height-relative:margin;mso-height-percent:200;" fillcolor="#FFFFFF" filled="t" stroked="f" coordsize="21600,21600" o:gfxdata="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&#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kFS+bXAAAACgEAAA8AAAAAAAAAAQAgAAAAIgAAAGRy&#10;cy9kb3ducmV2LnhtbFBLAQIUABQAAAAIAIdO4kCR3sSzzQEAAJADAAAOAAAAAAAAAAEAIAAAACYB&#10;AABkcnMvZTJvRG9jLnhtbFBLBQYAAAAABgAGAFkBAABlBQAAAAA=&#10;">
                <v:fill on="t" focussize="0,0"/>
                <v:stroke on="f"/>
                <v:imagedata o:title=""/>
                <o:lock v:ext="edit" aspectratio="f"/>
                <v:textbox style="mso-fit-shape-to-text:t;">
                  <w:txbxContent>
                    <w:p w14:paraId="4B8A94C1">
                      <w:pPr>
                        <w:rPr>
                          <w:rFonts w:hint="eastAsia"/>
                          <w:sz w:val="18"/>
                          <w:szCs w:val="18"/>
                        </w:rPr>
                      </w:pPr>
                      <w:r>
                        <w:rPr>
                          <w:rFonts w:hint="eastAsia"/>
                          <w:sz w:val="18"/>
                          <w:szCs w:val="18"/>
                        </w:rPr>
                        <w:t>4</w:t>
                      </w:r>
                    </w:p>
                  </w:txbxContent>
                </v:textbox>
                <w10:wrap type="square"/>
              </v:shape>
            </w:pict>
          </mc:Fallback>
        </mc:AlternateContent>
      </w:r>
      <w:r>
        <w:rPr>
          <w:rFonts w:hint="eastAsia" w:ascii="仿宋_GB2312" w:hAnsi="仿宋_GB2312" w:eastAsia="仿宋_GB2312" w:cs="仿宋_GB2312"/>
          <w:kern w:val="0"/>
          <w:sz w:val="28"/>
          <w:szCs w:val="28"/>
          <w:shd w:val="clear" w:color="auto" w:fill="FFFFFF"/>
          <w:lang w:bidi="ar"/>
        </w:rPr>
        <w:t>4.研发管理制度</w:t>
      </w:r>
    </w:p>
    <w:p w14:paraId="4D733DDC">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企业应建立研发机构，并配备研发人员。</w:t>
      </w:r>
    </w:p>
    <w:p w14:paraId="435F706D">
      <w:pPr>
        <w:widowControl/>
        <w:shd w:val="clear" w:color="auto" w:fill="FFFFFF"/>
        <w:spacing w:line="390" w:lineRule="atLeas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（1）研发机构应具备研发的能力并制定完善的研发制度及流程。</w:t>
      </w:r>
    </w:p>
    <w:p w14:paraId="1CD13594">
      <w:pPr>
        <w:widowControl/>
        <w:shd w:val="clear" w:color="auto" w:fill="FFFFFF"/>
        <w:spacing w:line="390" w:lineRule="atLeas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（2）研发机构对新产品的研发，应包括对产品合规性、生产工艺、质量安全和营养方面的综合论证，产品配方应保证运动人群的安全，满足营养需要。并保留完整的论证文件等资料。</w:t>
      </w:r>
    </w:p>
    <w:p w14:paraId="0AC29165">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（3）企业应对产品配方及维生素、微量元素等营养素的均匀性、稳定性、安全性进行跟踪评价并提供相应评价报告。</w:t>
      </w:r>
    </w:p>
    <w:p w14:paraId="77C0BC36">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5.自查制度</w:t>
      </w:r>
    </w:p>
    <w:p w14:paraId="36A764DC">
      <w:pPr>
        <w:widowControl/>
        <w:shd w:val="clear" w:color="auto" w:fill="FFFFFF"/>
        <w:spacing w:line="390" w:lineRule="atLeast"/>
        <w:ind w:firstLine="621"/>
        <w:rPr>
          <w:rFonts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企业应建立自查制度，定期对质量管理体系的运行情况进行自查，保证其有效运行。质量管理体系的自查内容至少包括：企业资质、产品变化情况；采购进货查验落实情况；生产过程控制情况；出厂检验落实情况；不合格品管理情况；研发管理情况；标签标注符合性情况；信息化追溯系统建立情况；投诉举报处理情况；食品安全隐患排查及食品安全事故处置情况。</w:t>
      </w:r>
    </w:p>
    <w:p w14:paraId="6F9D01AD">
      <w:pPr>
        <w:pStyle w:val="4"/>
        <w:widowControl/>
        <w:spacing w:before="0" w:beforeAutospacing="0" w:after="0" w:afterAutospacing="0"/>
        <w:ind w:firstLine="544" w:firstLineChars="200"/>
        <w:rPr>
          <w:rFonts w:hint="eastAsia" w:ascii="仿宋" w:hAnsi="仿宋" w:eastAsia="仿宋" w:cs="仿宋"/>
          <w:sz w:val="27"/>
          <w:szCs w:val="27"/>
        </w:rPr>
      </w:pPr>
      <w:r>
        <w:rPr>
          <w:rFonts w:hint="eastAsia" w:ascii="仿宋_GB2312" w:hAnsi="仿宋_GB2312" w:eastAsia="仿宋_GB2312" w:cs="仿宋_GB2312"/>
          <w:sz w:val="28"/>
          <w:szCs w:val="28"/>
          <w:shd w:val="clear" w:color="auto" w:fill="FFFFFF"/>
          <w:lang w:bidi="ar"/>
        </w:rPr>
        <w:t>6.</w:t>
      </w:r>
      <w:r>
        <w:rPr>
          <w:rFonts w:hint="eastAsia" w:ascii="仿宋" w:hAnsi="仿宋" w:eastAsia="仿宋" w:cs="仿宋"/>
          <w:sz w:val="27"/>
          <w:szCs w:val="27"/>
        </w:rPr>
        <w:t>日管控、周排查、月调度制定</w:t>
      </w:r>
    </w:p>
    <w:p w14:paraId="64E1A977">
      <w:pPr>
        <w:pStyle w:val="4"/>
        <w:widowControl/>
        <w:spacing w:before="0" w:beforeAutospacing="0" w:after="0" w:afterAutospacing="0"/>
        <w:ind w:firstLine="524" w:firstLineChars="200"/>
        <w:rPr>
          <w:rFonts w:hint="eastAsia" w:ascii="仿宋" w:hAnsi="仿宋" w:eastAsia="仿宋" w:cs="仿宋"/>
          <w:sz w:val="27"/>
          <w:szCs w:val="27"/>
        </w:rPr>
      </w:pPr>
      <w:r>
        <w:rPr>
          <w:rFonts w:hint="eastAsia" w:ascii="仿宋" w:hAnsi="仿宋" w:eastAsia="仿宋" w:cs="仿宋"/>
          <w:sz w:val="27"/>
          <w:szCs w:val="27"/>
        </w:rPr>
        <w:t>建立并执行日管控、周排查、月调度工作机制。企业应当建立基于食品安全风险防控的动态管理机制，充分进行食品安全风险分析，建立并不断完善食品安全风险管控清单，按照《</w:t>
      </w:r>
      <w:bookmarkStart w:id="4" w:name="OLE_LINK9"/>
      <w:r>
        <w:rPr>
          <w:rFonts w:hint="eastAsia" w:ascii="仿宋" w:hAnsi="仿宋" w:eastAsia="仿宋" w:cs="仿宋"/>
          <w:sz w:val="27"/>
          <w:szCs w:val="27"/>
        </w:rPr>
        <w:t>食品生产经营企业落实食品安全主体责任监督管理规定</w:t>
      </w:r>
      <w:bookmarkEnd w:id="4"/>
      <w:r>
        <w:rPr>
          <w:rFonts w:hint="eastAsia" w:ascii="仿宋" w:hAnsi="仿宋" w:eastAsia="仿宋" w:cs="仿宋"/>
          <w:sz w:val="27"/>
          <w:szCs w:val="27"/>
        </w:rPr>
        <w:t>》的相关规定建立健全日管控、周排查、月调度工作制度和机制。食品安全员开展日管控工作，食品安全总监或者食品安全员开展周排查工作，主要负责人开展月调度工作。</w:t>
      </w:r>
    </w:p>
    <w:p w14:paraId="671D0B8D">
      <w:pPr>
        <w:spacing w:line="590" w:lineRule="exact"/>
        <w:ind w:firstLine="524" w:firstLineChars="200"/>
        <w:rPr>
          <w:rFonts w:ascii="楷体" w:eastAsia="楷体"/>
          <w:sz w:val="28"/>
          <w:szCs w:val="28"/>
        </w:rPr>
      </w:pPr>
      <w:bookmarkStart w:id="5" w:name="_Toc24882"/>
      <w:bookmarkEnd w:id="5"/>
      <w:bookmarkStart w:id="6" w:name="_Toc416939942"/>
      <w:bookmarkEnd w:id="6"/>
      <w:bookmarkStart w:id="7" w:name="_Toc415228654"/>
      <w:r>
        <w:rPr>
          <w:rFonts w:hint="eastAsia" w:ascii="仿宋" w:hAnsi="仿宋" w:cs="仿宋"/>
          <w:sz w:val="27"/>
          <w:szCs w:val="27"/>
        </w:rPr>
        <mc:AlternateContent>
          <mc:Choice Requires="wps">
            <w:drawing>
              <wp:anchor distT="45720" distB="45720" distL="114300" distR="114300" simplePos="0" relativeHeight="251663360" behindDoc="0" locked="0" layoutInCell="1" allowOverlap="1">
                <wp:simplePos x="0" y="0"/>
                <wp:positionH relativeFrom="column">
                  <wp:posOffset>5544820</wp:posOffset>
                </wp:positionH>
                <wp:positionV relativeFrom="paragraph">
                  <wp:posOffset>374650</wp:posOffset>
                </wp:positionV>
                <wp:extent cx="443230" cy="467360"/>
                <wp:effectExtent l="0" t="0" r="13970" b="8890"/>
                <wp:wrapSquare wrapText="bothSides"/>
                <wp:docPr id="6" name="文本框 6"/>
                <wp:cNvGraphicFramePr/>
                <a:graphic xmlns:a="http://schemas.openxmlformats.org/drawingml/2006/main">
                  <a:graphicData uri="http://schemas.microsoft.com/office/word/2010/wordprocessingShape">
                    <wps:wsp>
                      <wps:cNvSpPr txBox="1"/>
                      <wps:spPr>
                        <a:xfrm>
                          <a:off x="0" y="0"/>
                          <a:ext cx="443230" cy="467360"/>
                        </a:xfrm>
                        <a:prstGeom prst="rect">
                          <a:avLst/>
                        </a:prstGeom>
                        <a:solidFill>
                          <a:srgbClr val="FFFFFF"/>
                        </a:solidFill>
                        <a:ln>
                          <a:noFill/>
                        </a:ln>
                      </wps:spPr>
                      <wps:txbx>
                        <w:txbxContent>
                          <w:p w14:paraId="26C0BF6F">
                            <w:pPr>
                              <w:rPr>
                                <w:rFonts w:hint="eastAsia"/>
                                <w:sz w:val="18"/>
                                <w:szCs w:val="18"/>
                              </w:rPr>
                            </w:pPr>
                            <w:r>
                              <w:rPr>
                                <w:rFonts w:hint="eastAsia"/>
                                <w:sz w:val="18"/>
                                <w:szCs w:val="18"/>
                              </w:rPr>
                              <w:t>5</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36.6pt;margin-top:29.5pt;height:36.8pt;width:34.9pt;mso-wrap-distance-bottom:3.6pt;mso-wrap-distance-left:9pt;mso-wrap-distance-right:9pt;mso-wrap-distance-top:3.6pt;z-index:251663360;mso-width-relative:page;mso-height-relative:margin;mso-height-percent:200;" fillcolor="#FFFFFF" filled="t" stroked="f" coordsize="21600,21600" o:gfxdata="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fdeHx2AAAAAoBAAAPAAAAAAAAAAEAIAAAACIAAABk&#10;cnMvZG93bnJldi54bWxQSwECFAAUAAAACACHTuJAG8IHks0BAACQAwAADgAAAAAAAAABACAAAAAn&#10;AQAAZHJzL2Uyb0RvYy54bWxQSwUGAAAAAAYABgBZAQAAZgUAAAAA&#10;">
                <v:fill on="t" focussize="0,0"/>
                <v:stroke on="f"/>
                <v:imagedata o:title=""/>
                <o:lock v:ext="edit" aspectratio="f"/>
                <v:textbox style="mso-fit-shape-to-text:t;">
                  <w:txbxContent>
                    <w:p w14:paraId="26C0BF6F">
                      <w:pPr>
                        <w:rPr>
                          <w:rFonts w:hint="eastAsia"/>
                          <w:sz w:val="18"/>
                          <w:szCs w:val="18"/>
                        </w:rPr>
                      </w:pPr>
                      <w:r>
                        <w:rPr>
                          <w:rFonts w:hint="eastAsia"/>
                          <w:sz w:val="18"/>
                          <w:szCs w:val="18"/>
                        </w:rPr>
                        <w:t>5</w:t>
                      </w:r>
                    </w:p>
                  </w:txbxContent>
                </v:textbox>
                <w10:wrap type="square"/>
              </v:shape>
            </w:pict>
          </mc:Fallback>
        </mc:AlternateContent>
      </w:r>
      <w:r>
        <w:rPr>
          <w:rFonts w:hint="eastAsia" w:ascii="楷体" w:eastAsia="楷体"/>
          <w:sz w:val="28"/>
          <w:szCs w:val="28"/>
        </w:rPr>
        <w:t>（二）人员</w:t>
      </w:r>
      <w:bookmarkEnd w:id="7"/>
      <w:r>
        <w:rPr>
          <w:rFonts w:hint="eastAsia" w:ascii="楷体" w:eastAsia="楷体"/>
          <w:sz w:val="28"/>
          <w:szCs w:val="28"/>
        </w:rPr>
        <w:t>要求</w:t>
      </w:r>
    </w:p>
    <w:p w14:paraId="7E582123">
      <w:pPr>
        <w:spacing w:line="590" w:lineRule="exact"/>
        <w:ind w:firstLine="544" w:firstLineChars="200"/>
        <w:rPr>
          <w:rFonts w:hint="eastAsia" w:ascii="楷体" w:eastAsia="楷体"/>
          <w:sz w:val="28"/>
          <w:szCs w:val="28"/>
        </w:rPr>
      </w:pPr>
      <w:r>
        <w:rPr>
          <w:rFonts w:hint="eastAsia" w:ascii="仿宋_GB2312" w:hAnsi="仿宋_GB2312" w:eastAsia="仿宋_GB2312" w:cs="仿宋_GB2312"/>
          <w:kern w:val="0"/>
          <w:sz w:val="28"/>
          <w:szCs w:val="28"/>
          <w:shd w:val="clear" w:color="auto" w:fill="FFFFFF"/>
          <w:lang w:bidi="ar"/>
        </w:rPr>
        <w:t>企业应建立人员管理制度，各岗位人员的数量和能力应与企业规模、工艺、设备水平等相适应。</w:t>
      </w:r>
    </w:p>
    <w:p w14:paraId="174231AF">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应配备具有相关专业和经验的食品安全管理人员、研发人员、检验人员、生产管理人员与技术人员，须经过专业培训，经企业考核合格后上岗。企业质量负责人和食品安全管理人员，应有食品或相关专业本科以上学历，并具有3年以上食品工作经历。生产管理人员、技术人员应有食品或相关专业专科以上学历，并具有3年以上相关工作经历。研发人员应有食品、运动营养或相关专业本科以上学历，掌握食品工艺、营养和质量安全等相关专业知识。从事产品检测的人员应具有食品、化学或相关专业专科以上的学历，或者具有10年以上食品检测工作经历。</w:t>
      </w:r>
    </w:p>
    <w:p w14:paraId="05A7750E">
      <w:pPr>
        <w:spacing w:line="590" w:lineRule="exact"/>
        <w:ind w:firstLine="544" w:firstLineChars="200"/>
        <w:rPr>
          <w:rFonts w:hint="eastAsia" w:ascii="楷体" w:eastAsia="楷体"/>
          <w:sz w:val="28"/>
          <w:szCs w:val="28"/>
        </w:rPr>
      </w:pPr>
      <w:bookmarkStart w:id="8" w:name="_Toc415228658"/>
      <w:bookmarkEnd w:id="8"/>
      <w:bookmarkStart w:id="9" w:name="_Toc28607"/>
      <w:bookmarkEnd w:id="9"/>
      <w:bookmarkStart w:id="10" w:name="_Toc416939945"/>
      <w:r>
        <w:rPr>
          <w:rFonts w:hint="eastAsia" w:ascii="楷体" w:eastAsia="楷体"/>
          <w:sz w:val="28"/>
          <w:szCs w:val="28"/>
        </w:rPr>
        <w:t>（三）</w:t>
      </w:r>
      <w:bookmarkEnd w:id="10"/>
      <w:r>
        <w:rPr>
          <w:rFonts w:hint="eastAsia" w:ascii="楷体" w:eastAsia="楷体"/>
          <w:sz w:val="28"/>
          <w:szCs w:val="28"/>
        </w:rPr>
        <w:t>生产场所要求</w:t>
      </w:r>
    </w:p>
    <w:p w14:paraId="4D192047">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企业厂房选址和设计、内部建筑结构、辅助生产设施应当符合GB14881《</w:t>
      </w:r>
      <w:r>
        <w:rPr>
          <w:rFonts w:hint="eastAsia" w:ascii="仿宋_GB2312" w:hAnsi="仿宋_GB2312" w:eastAsia="仿宋_GB2312" w:cs="仿宋_GB2312"/>
          <w:kern w:val="0"/>
          <w:sz w:val="28"/>
          <w:szCs w:val="28"/>
          <w:shd w:val="clear" w:color="auto" w:fill="FFFFFF"/>
          <w:lang w:bidi="ar"/>
        </w:rPr>
        <w:fldChar w:fldCharType="begin"/>
      </w:r>
      <w:r>
        <w:rPr>
          <w:rFonts w:hint="eastAsia" w:ascii="仿宋_GB2312" w:hAnsi="仿宋_GB2312" w:eastAsia="仿宋_GB2312" w:cs="仿宋_GB2312"/>
          <w:kern w:val="0"/>
          <w:sz w:val="28"/>
          <w:szCs w:val="28"/>
          <w:shd w:val="clear" w:color="auto" w:fill="FFFFFF"/>
          <w:lang w:bidi="ar"/>
        </w:rPr>
        <w:instrText xml:space="preserve"> HYPERLINK "http://down.foodmate.net/special/standard/42.html" \t "http://www.foodmate.net/zhiliang/qs/_blank" </w:instrText>
      </w:r>
      <w:r>
        <w:rPr>
          <w:rFonts w:hint="eastAsia" w:ascii="仿宋_GB2312" w:hAnsi="仿宋_GB2312" w:eastAsia="仿宋_GB2312" w:cs="仿宋_GB2312"/>
          <w:kern w:val="0"/>
          <w:sz w:val="28"/>
          <w:szCs w:val="28"/>
          <w:shd w:val="clear" w:color="auto" w:fill="FFFFFF"/>
          <w:lang w:bidi="ar"/>
        </w:rPr>
        <w:fldChar w:fldCharType="separate"/>
      </w:r>
      <w:r>
        <w:rPr>
          <w:rFonts w:ascii="仿宋_GB2312" w:hAnsi="仿宋_GB2312" w:eastAsia="仿宋_GB2312" w:cs="仿宋_GB2312"/>
          <w:kern w:val="0"/>
          <w:sz w:val="28"/>
          <w:szCs w:val="28"/>
          <w:shd w:val="clear" w:color="auto" w:fill="FFFFFF"/>
          <w:lang w:bidi="ar"/>
        </w:rPr>
        <w:t>食品安全国家标准</w:t>
      </w:r>
      <w:r>
        <w:rPr>
          <w:rFonts w:ascii="仿宋_GB2312" w:hAnsi="仿宋_GB2312" w:eastAsia="仿宋_GB2312" w:cs="仿宋_GB2312"/>
          <w:kern w:val="0"/>
          <w:sz w:val="28"/>
          <w:szCs w:val="28"/>
          <w:shd w:val="clear" w:color="auto" w:fill="FFFFFF"/>
          <w:lang w:bidi="ar"/>
        </w:rPr>
        <w:fldChar w:fldCharType="end"/>
      </w:r>
      <w:r>
        <w:rPr>
          <w:rFonts w:ascii="Calibri" w:hAnsi="Calibri" w:eastAsia="仿宋_GB2312" w:cs="Calibri"/>
          <w:kern w:val="0"/>
          <w:sz w:val="28"/>
          <w:szCs w:val="28"/>
          <w:shd w:val="clear" w:color="auto" w:fill="FFFFFF"/>
          <w:lang w:bidi="ar"/>
        </w:rPr>
        <w:t> </w:t>
      </w:r>
      <w:r>
        <w:rPr>
          <w:rFonts w:hint="eastAsia" w:ascii="仿宋_GB2312" w:hAnsi="仿宋_GB2312" w:eastAsia="仿宋_GB2312" w:cs="仿宋_GB2312"/>
          <w:kern w:val="0"/>
          <w:sz w:val="28"/>
          <w:szCs w:val="28"/>
          <w:shd w:val="clear" w:color="auto" w:fill="FFFFFF"/>
          <w:lang w:bidi="ar"/>
        </w:rPr>
        <w:t>食品生产通用卫生规范》等相关标准的规定。</w:t>
      </w:r>
    </w:p>
    <w:p w14:paraId="2615DF07">
      <w:pPr>
        <w:widowControl/>
        <w:shd w:val="clear" w:color="auto" w:fill="FFFFFF"/>
        <w:spacing w:line="390" w:lineRule="atLeast"/>
        <w:ind w:firstLine="621"/>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1.生产车间内应区分清洁作业区、准清洁作业区和一般作业区，生产车间及清洁作业区具体划分见表2。</w:t>
      </w:r>
    </w:p>
    <w:p w14:paraId="3C4C385F">
      <w:pPr>
        <w:tabs>
          <w:tab w:val="left" w:pos="624"/>
          <w:tab w:val="center" w:pos="4365"/>
        </w:tabs>
        <w:spacing w:before="177" w:beforeLines="30" w:after="177" w:afterLines="30" w:line="590" w:lineRule="exact"/>
        <w:jc w:val="center"/>
        <w:rPr>
          <w:rFonts w:hint="eastAsia" w:ascii="仿宋"/>
          <w:b/>
          <w:sz w:val="24"/>
          <w:szCs w:val="24"/>
        </w:rPr>
      </w:pPr>
      <w:r>
        <w:rPr>
          <w:rFonts w:hint="eastAsia" w:ascii="仿宋"/>
          <w:b/>
          <w:sz w:val="24"/>
          <w:szCs w:val="24"/>
        </w:rPr>
        <w:t>表2 运动营养食品企业生产车间及清洁作业区划分表</w:t>
      </w:r>
    </w:p>
    <w:tbl>
      <w:tblPr>
        <w:tblStyle w:val="5"/>
        <w:tblW w:w="85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9"/>
        <w:gridCol w:w="3601"/>
        <w:gridCol w:w="2657"/>
      </w:tblGrid>
      <w:tr w14:paraId="6429F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2309"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2C767C7">
            <w:pPr>
              <w:spacing w:line="310" w:lineRule="exact"/>
              <w:ind w:left="40" w:leftChars="20" w:right="40" w:rightChars="20"/>
              <w:jc w:val="center"/>
              <w:rPr>
                <w:rFonts w:hint="eastAsia" w:ascii="宋体" w:eastAsia="宋体"/>
                <w:b/>
                <w:sz w:val="21"/>
                <w:szCs w:val="21"/>
              </w:rPr>
            </w:pPr>
            <w:r>
              <w:rPr>
                <w:rFonts w:hint="eastAsia" w:ascii="宋体" w:eastAsia="宋体"/>
                <w:b/>
                <w:sz w:val="21"/>
                <w:szCs w:val="21"/>
              </w:rPr>
              <w:t>清洁作业区</w:t>
            </w:r>
          </w:p>
        </w:tc>
        <w:tc>
          <w:tcPr>
            <w:tcW w:w="3601"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5509D3B">
            <w:pPr>
              <w:spacing w:line="310" w:lineRule="exact"/>
              <w:ind w:left="40" w:leftChars="20" w:right="40" w:rightChars="20"/>
              <w:jc w:val="center"/>
              <w:rPr>
                <w:rFonts w:hint="eastAsia" w:ascii="宋体" w:eastAsia="宋体"/>
                <w:b/>
                <w:sz w:val="21"/>
                <w:szCs w:val="21"/>
              </w:rPr>
            </w:pPr>
            <w:r>
              <w:rPr>
                <w:rFonts w:hint="eastAsia" w:ascii="宋体" w:eastAsia="宋体"/>
                <w:b/>
                <w:sz w:val="21"/>
                <w:szCs w:val="21"/>
              </w:rPr>
              <w:t>准清洁作业区</w:t>
            </w:r>
          </w:p>
        </w:tc>
        <w:tc>
          <w:tcPr>
            <w:tcW w:w="26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41AEAFE">
            <w:pPr>
              <w:spacing w:line="310" w:lineRule="exact"/>
              <w:ind w:left="40" w:leftChars="20" w:right="40" w:rightChars="20"/>
              <w:jc w:val="center"/>
              <w:rPr>
                <w:rFonts w:hint="eastAsia" w:ascii="宋体" w:eastAsia="宋体"/>
                <w:b/>
                <w:sz w:val="21"/>
                <w:szCs w:val="21"/>
              </w:rPr>
            </w:pPr>
            <w:r>
              <w:rPr>
                <w:rFonts w:hint="eastAsia" w:ascii="宋体" w:eastAsia="宋体"/>
                <w:b/>
                <w:sz w:val="21"/>
                <w:szCs w:val="21"/>
              </w:rPr>
              <w:t>一般作业区</w:t>
            </w:r>
          </w:p>
        </w:tc>
      </w:tr>
      <w:tr w14:paraId="6C27F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309"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40EE090">
            <w:pPr>
              <w:spacing w:line="310" w:lineRule="exact"/>
              <w:ind w:left="40" w:leftChars="20" w:right="40" w:rightChars="20"/>
              <w:rPr>
                <w:rFonts w:hint="eastAsia" w:ascii="宋体" w:eastAsia="宋体"/>
                <w:sz w:val="21"/>
                <w:szCs w:val="21"/>
              </w:rPr>
            </w:pPr>
            <w:r>
              <w:rPr>
                <w:rFonts w:hint="eastAsia" w:ascii="宋体" w:eastAsia="宋体"/>
                <w:sz w:val="21"/>
                <w:szCs w:val="21"/>
              </w:rPr>
              <w:t>配料车间、混料车间、成型车间、冷却车间、半成品暂存间、包材消毒清洁间、内包装车间等</w:t>
            </w:r>
          </w:p>
        </w:tc>
        <w:tc>
          <w:tcPr>
            <w:tcW w:w="3601"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5EF7C9D">
            <w:pPr>
              <w:spacing w:line="310" w:lineRule="exact"/>
              <w:ind w:left="40" w:leftChars="20" w:right="40" w:rightChars="20"/>
              <w:rPr>
                <w:rFonts w:hint="eastAsia" w:ascii="宋体" w:eastAsia="宋体"/>
                <w:sz w:val="21"/>
                <w:szCs w:val="21"/>
              </w:rPr>
            </w:pPr>
            <w:r>
              <w:rPr>
                <w:rFonts w:hint="eastAsia" w:ascii="宋体" w:eastAsia="宋体"/>
                <w:sz w:val="21"/>
                <w:szCs w:val="21"/>
              </w:rPr>
              <w:t>原料加工处理车间、配料混合车间、干燥车间、灭菌车间、提取车间、原辅料外包装清洁间等</w:t>
            </w:r>
          </w:p>
        </w:tc>
        <w:tc>
          <w:tcPr>
            <w:tcW w:w="26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0A2FCF3">
            <w:pPr>
              <w:spacing w:line="310" w:lineRule="exact"/>
              <w:ind w:left="40" w:leftChars="20" w:right="40" w:rightChars="20"/>
              <w:rPr>
                <w:rFonts w:hint="eastAsia" w:ascii="宋体" w:eastAsia="宋体"/>
                <w:sz w:val="21"/>
                <w:szCs w:val="21"/>
              </w:rPr>
            </w:pPr>
            <w:r>
              <w:rPr>
                <w:rFonts w:hint="eastAsia" w:ascii="宋体" w:eastAsia="宋体"/>
                <w:sz w:val="21"/>
                <w:szCs w:val="21"/>
              </w:rPr>
              <w:t>原料挑选预清洗车间、原料仓库、包装材料仓库、外包装车间及成品仓库等</w:t>
            </w:r>
          </w:p>
        </w:tc>
      </w:tr>
    </w:tbl>
    <w:p w14:paraId="647ADB09">
      <w:pPr>
        <w:spacing w:line="590" w:lineRule="exact"/>
        <w:ind w:firstLine="544" w:firstLineChars="200"/>
        <w:rPr>
          <w:rFonts w:ascii="仿宋_GB2312" w:hAnsi="仿宋_GB2312" w:eastAsia="仿宋_GB2312" w:cs="仿宋_GB2312"/>
          <w:kern w:val="0"/>
          <w:sz w:val="28"/>
          <w:szCs w:val="28"/>
          <w:shd w:val="clear" w:color="auto" w:fill="FFFFFF"/>
          <w:lang w:bidi="ar"/>
        </w:rPr>
      </w:pPr>
    </w:p>
    <w:p w14:paraId="2E66286F">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lang w:bidi="ar"/>
        </w:rPr>
        <mc:AlternateContent>
          <mc:Choice Requires="wps">
            <w:drawing>
              <wp:anchor distT="45720" distB="45720" distL="114300" distR="114300" simplePos="0" relativeHeight="251665408" behindDoc="0" locked="0" layoutInCell="1" allowOverlap="1">
                <wp:simplePos x="0" y="0"/>
                <wp:positionH relativeFrom="column">
                  <wp:posOffset>5540375</wp:posOffset>
                </wp:positionH>
                <wp:positionV relativeFrom="paragraph">
                  <wp:posOffset>502920</wp:posOffset>
                </wp:positionV>
                <wp:extent cx="443230" cy="467360"/>
                <wp:effectExtent l="0" t="0" r="13970" b="8890"/>
                <wp:wrapSquare wrapText="bothSides"/>
                <wp:docPr id="9" name="文本框 9"/>
                <wp:cNvGraphicFramePr/>
                <a:graphic xmlns:a="http://schemas.openxmlformats.org/drawingml/2006/main">
                  <a:graphicData uri="http://schemas.microsoft.com/office/word/2010/wordprocessingShape">
                    <wps:wsp>
                      <wps:cNvSpPr txBox="1"/>
                      <wps:spPr>
                        <a:xfrm>
                          <a:off x="0" y="0"/>
                          <a:ext cx="443230" cy="467360"/>
                        </a:xfrm>
                        <a:prstGeom prst="rect">
                          <a:avLst/>
                        </a:prstGeom>
                        <a:solidFill>
                          <a:srgbClr val="FFFFFF"/>
                        </a:solidFill>
                        <a:ln>
                          <a:noFill/>
                        </a:ln>
                      </wps:spPr>
                      <wps:txbx>
                        <w:txbxContent>
                          <w:p w14:paraId="23DCA6E7">
                            <w:pPr>
                              <w:rPr>
                                <w:rFonts w:hint="eastAsia"/>
                                <w:sz w:val="18"/>
                                <w:szCs w:val="18"/>
                              </w:rPr>
                            </w:pPr>
                            <w:r>
                              <w:rPr>
                                <w:rFonts w:hint="eastAsia"/>
                                <w:sz w:val="18"/>
                                <w:szCs w:val="18"/>
                              </w:rPr>
                              <w:t>6</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36.25pt;margin-top:39.6pt;height:36.8pt;width:34.9pt;mso-wrap-distance-bottom:3.6pt;mso-wrap-distance-left:9pt;mso-wrap-distance-right:9pt;mso-wrap-distance-top:3.6pt;z-index:251665408;mso-width-relative:page;mso-height-relative:margin;mso-height-percent:200;" fillcolor="#FFFFFF" filled="t" stroked="f" coordsize="21600,21600" o:gfxdata="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FMkyFtkAAAAKAQAADwAAAAAAAAABACAAAAAiAAAA&#10;ZHJzL2Rvd25yZXYueG1sUEsBAhQAFAAAAAgAh07iQIXnQvDNAQAAkAMAAA4AAAAAAAAAAQAgAAAA&#10;KAEAAGRycy9lMm9Eb2MueG1sUEsFBgAAAAAGAAYAWQEAAGcFAAAAAA==&#10;">
                <v:fill on="t" focussize="0,0"/>
                <v:stroke on="f"/>
                <v:imagedata o:title=""/>
                <o:lock v:ext="edit" aspectratio="f"/>
                <v:textbox style="mso-fit-shape-to-text:t;">
                  <w:txbxContent>
                    <w:p w14:paraId="23DCA6E7">
                      <w:pPr>
                        <w:rPr>
                          <w:rFonts w:hint="eastAsia"/>
                          <w:sz w:val="18"/>
                          <w:szCs w:val="18"/>
                        </w:rPr>
                      </w:pPr>
                      <w:r>
                        <w:rPr>
                          <w:rFonts w:hint="eastAsia"/>
                          <w:sz w:val="18"/>
                          <w:szCs w:val="18"/>
                        </w:rPr>
                        <w:t>6</w:t>
                      </w:r>
                    </w:p>
                  </w:txbxContent>
                </v:textbox>
                <w10:wrap type="square"/>
              </v:shape>
            </w:pict>
          </mc:Fallback>
        </mc:AlternateContent>
      </w:r>
      <w:r>
        <w:rPr>
          <w:rFonts w:hint="eastAsia" w:ascii="仿宋_GB2312" w:hAnsi="仿宋_GB2312" w:eastAsia="仿宋_GB2312" w:cs="仿宋_GB2312"/>
          <w:kern w:val="0"/>
          <w:sz w:val="28"/>
          <w:szCs w:val="28"/>
          <w:shd w:val="clear" w:color="auto" w:fill="FFFFFF"/>
          <w:lang w:bidi="ar"/>
        </w:rPr>
        <w:t>2.企业应定期对清洁作业区进行空气质量监测，并对检测能力进行验证。在工艺设备安装完毕或重大改造后应对清洁作业区的空气洁净度进行监测，符合要求后方可投入生产。清洁作业区的动态空气洁净度要求和监控按表3进行。</w:t>
      </w:r>
    </w:p>
    <w:p w14:paraId="2178DD2A">
      <w:pPr>
        <w:tabs>
          <w:tab w:val="left" w:pos="624"/>
          <w:tab w:val="center" w:pos="4365"/>
        </w:tabs>
        <w:spacing w:before="177" w:beforeLines="30" w:after="177" w:afterLines="30" w:line="590" w:lineRule="exact"/>
        <w:jc w:val="center"/>
        <w:rPr>
          <w:rFonts w:hint="eastAsia" w:ascii="仿宋"/>
          <w:b/>
          <w:sz w:val="24"/>
          <w:szCs w:val="24"/>
        </w:rPr>
      </w:pPr>
      <w:r>
        <w:rPr>
          <w:rFonts w:hint="eastAsia" w:ascii="仿宋"/>
          <w:b/>
          <w:sz w:val="24"/>
          <w:szCs w:val="24"/>
        </w:rPr>
        <w:t>表3 生产清洁作业区标准控制表</w:t>
      </w:r>
    </w:p>
    <w:tbl>
      <w:tblPr>
        <w:tblStyle w:val="5"/>
        <w:tblW w:w="87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7"/>
        <w:gridCol w:w="1554"/>
        <w:gridCol w:w="2016"/>
        <w:gridCol w:w="1595"/>
        <w:gridCol w:w="1206"/>
        <w:gridCol w:w="1426"/>
      </w:tblGrid>
      <w:tr w14:paraId="6E167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957" w:type="dxa"/>
            <w:vMerge w:val="restart"/>
            <w:tcBorders>
              <w:top w:val="single" w:color="000000" w:sz="2" w:space="0"/>
              <w:left w:val="single" w:color="auto" w:sz="4" w:space="0"/>
              <w:bottom w:val="single" w:color="auto" w:sz="4" w:space="0"/>
              <w:right w:val="single" w:color="000000" w:sz="2" w:space="0"/>
            </w:tcBorders>
            <w:shd w:val="clear" w:color="auto" w:fill="FFFFFF"/>
            <w:noWrap w:val="0"/>
            <w:vAlign w:val="center"/>
          </w:tcPr>
          <w:p w14:paraId="51E0BAE6">
            <w:pPr>
              <w:spacing w:line="300" w:lineRule="exact"/>
              <w:ind w:left="40" w:leftChars="20" w:right="40" w:rightChars="20"/>
              <w:jc w:val="center"/>
              <w:rPr>
                <w:rFonts w:hint="eastAsia" w:ascii="宋体" w:eastAsia="宋体"/>
                <w:b/>
                <w:sz w:val="21"/>
                <w:szCs w:val="21"/>
              </w:rPr>
            </w:pPr>
            <w:r>
              <w:rPr>
                <w:rFonts w:hint="eastAsia" w:ascii="宋体" w:eastAsia="宋体"/>
                <w:b/>
                <w:sz w:val="21"/>
                <w:szCs w:val="21"/>
              </w:rPr>
              <w:t>项目</w:t>
            </w:r>
          </w:p>
        </w:tc>
        <w:tc>
          <w:tcPr>
            <w:tcW w:w="1554" w:type="dxa"/>
            <w:vMerge w:val="restart"/>
            <w:tcBorders>
              <w:top w:val="single" w:color="000000" w:sz="2" w:space="0"/>
              <w:left w:val="single" w:color="000000" w:sz="2" w:space="0"/>
              <w:bottom w:val="single" w:color="auto" w:sz="4" w:space="0"/>
              <w:right w:val="single" w:color="000000" w:sz="2" w:space="0"/>
            </w:tcBorders>
            <w:shd w:val="clear" w:color="auto" w:fill="FFFFFF"/>
            <w:noWrap w:val="0"/>
            <w:vAlign w:val="center"/>
          </w:tcPr>
          <w:p w14:paraId="05FF78DA">
            <w:pPr>
              <w:spacing w:line="300" w:lineRule="exact"/>
              <w:ind w:left="40" w:leftChars="20" w:right="40" w:rightChars="20"/>
              <w:jc w:val="center"/>
              <w:rPr>
                <w:rFonts w:hint="eastAsia" w:ascii="宋体" w:eastAsia="宋体"/>
                <w:b/>
                <w:sz w:val="21"/>
                <w:szCs w:val="21"/>
              </w:rPr>
            </w:pPr>
            <w:r>
              <w:rPr>
                <w:rFonts w:hint="eastAsia" w:ascii="宋体" w:eastAsia="宋体"/>
                <w:b/>
                <w:sz w:val="21"/>
                <w:szCs w:val="21"/>
              </w:rPr>
              <w:t>内容</w:t>
            </w:r>
          </w:p>
        </w:tc>
        <w:tc>
          <w:tcPr>
            <w:tcW w:w="2016" w:type="dxa"/>
            <w:vMerge w:val="restart"/>
            <w:tcBorders>
              <w:top w:val="single" w:color="000000" w:sz="2" w:space="0"/>
              <w:left w:val="single" w:color="000000" w:sz="2" w:space="0"/>
              <w:bottom w:val="single" w:color="auto" w:sz="4" w:space="0"/>
              <w:right w:val="single" w:color="000000" w:sz="2" w:space="0"/>
            </w:tcBorders>
            <w:shd w:val="clear" w:color="auto" w:fill="FFFFFF"/>
            <w:noWrap w:val="0"/>
            <w:vAlign w:val="center"/>
          </w:tcPr>
          <w:p w14:paraId="78DADCA7">
            <w:pPr>
              <w:spacing w:line="300" w:lineRule="exact"/>
              <w:ind w:left="40" w:leftChars="20" w:right="40" w:rightChars="20"/>
              <w:jc w:val="center"/>
              <w:rPr>
                <w:rFonts w:hint="eastAsia" w:ascii="宋体" w:eastAsia="宋体"/>
                <w:b/>
                <w:sz w:val="21"/>
                <w:szCs w:val="21"/>
              </w:rPr>
            </w:pPr>
            <w:r>
              <w:rPr>
                <w:rFonts w:hint="eastAsia" w:ascii="宋体" w:eastAsia="宋体"/>
                <w:b/>
                <w:sz w:val="21"/>
                <w:szCs w:val="21"/>
              </w:rPr>
              <w:t>检测方法</w:t>
            </w:r>
          </w:p>
        </w:tc>
        <w:tc>
          <w:tcPr>
            <w:tcW w:w="2801" w:type="dxa"/>
            <w:gridSpan w:val="2"/>
            <w:tcBorders>
              <w:top w:val="single" w:color="000000" w:sz="2" w:space="0"/>
              <w:left w:val="single" w:color="000000" w:sz="2" w:space="0"/>
              <w:bottom w:val="single" w:color="auto" w:sz="4" w:space="0"/>
              <w:right w:val="single" w:color="000000" w:sz="2" w:space="0"/>
            </w:tcBorders>
            <w:shd w:val="clear" w:color="auto" w:fill="FFFFFF"/>
            <w:noWrap w:val="0"/>
            <w:vAlign w:val="center"/>
          </w:tcPr>
          <w:p w14:paraId="215004B8">
            <w:pPr>
              <w:spacing w:line="300" w:lineRule="exact"/>
              <w:ind w:left="40" w:leftChars="20" w:right="40" w:rightChars="20"/>
              <w:jc w:val="center"/>
              <w:rPr>
                <w:rFonts w:hint="eastAsia" w:ascii="宋体" w:eastAsia="宋体"/>
                <w:b/>
                <w:sz w:val="21"/>
                <w:szCs w:val="21"/>
              </w:rPr>
            </w:pPr>
            <w:r>
              <w:rPr>
                <w:rFonts w:hint="eastAsia" w:ascii="宋体" w:eastAsia="宋体"/>
                <w:b/>
                <w:sz w:val="21"/>
                <w:szCs w:val="21"/>
              </w:rPr>
              <w:t>控制要求</w:t>
            </w:r>
          </w:p>
        </w:tc>
        <w:tc>
          <w:tcPr>
            <w:tcW w:w="1426" w:type="dxa"/>
            <w:vMerge w:val="restart"/>
            <w:tcBorders>
              <w:top w:val="single" w:color="000000" w:sz="2" w:space="0"/>
              <w:left w:val="single" w:color="000000" w:sz="2" w:space="0"/>
              <w:right w:val="single" w:color="000000" w:sz="2" w:space="0"/>
            </w:tcBorders>
            <w:shd w:val="clear" w:color="auto" w:fill="FFFFFF"/>
            <w:noWrap w:val="0"/>
            <w:vAlign w:val="center"/>
          </w:tcPr>
          <w:p w14:paraId="76D90AB0">
            <w:pPr>
              <w:spacing w:line="300" w:lineRule="exact"/>
              <w:ind w:left="40" w:leftChars="20" w:right="40" w:rightChars="20"/>
              <w:jc w:val="center"/>
              <w:rPr>
                <w:rFonts w:hint="eastAsia" w:ascii="宋体" w:eastAsia="宋体"/>
                <w:b/>
                <w:sz w:val="21"/>
                <w:szCs w:val="21"/>
              </w:rPr>
            </w:pPr>
            <w:r>
              <w:rPr>
                <w:rFonts w:hint="eastAsia" w:ascii="宋体" w:eastAsia="宋体"/>
                <w:b/>
                <w:sz w:val="21"/>
                <w:szCs w:val="21"/>
              </w:rPr>
              <w:t>监控频次</w:t>
            </w:r>
          </w:p>
        </w:tc>
      </w:tr>
      <w:tr w14:paraId="645BD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957"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340056"/>
        </w:tc>
        <w:tc>
          <w:tcPr>
            <w:tcW w:w="1554"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60653A"/>
        </w:tc>
        <w:tc>
          <w:tcPr>
            <w:tcW w:w="2016"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10F11B"/>
        </w:tc>
        <w:tc>
          <w:tcPr>
            <w:tcW w:w="15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D4CDE0">
            <w:pPr>
              <w:spacing w:line="300" w:lineRule="exact"/>
              <w:ind w:left="40" w:leftChars="20" w:right="40" w:rightChars="20"/>
              <w:jc w:val="center"/>
              <w:rPr>
                <w:rFonts w:hint="eastAsia" w:ascii="宋体" w:eastAsia="宋体"/>
                <w:b/>
                <w:sz w:val="21"/>
                <w:szCs w:val="21"/>
              </w:rPr>
            </w:pPr>
            <w:r>
              <w:rPr>
                <w:rFonts w:hint="eastAsia" w:ascii="宋体" w:eastAsia="宋体"/>
                <w:b/>
                <w:sz w:val="21"/>
                <w:szCs w:val="21"/>
              </w:rPr>
              <w:t>动态</w:t>
            </w:r>
          </w:p>
        </w:tc>
        <w:tc>
          <w:tcPr>
            <w:tcW w:w="1206" w:type="dxa"/>
            <w:tcBorders>
              <w:top w:val="single" w:color="auto" w:sz="4" w:space="0"/>
              <w:left w:val="single" w:color="auto" w:sz="4" w:space="0"/>
              <w:bottom w:val="single" w:color="auto" w:sz="4" w:space="0"/>
              <w:right w:val="single" w:color="000000" w:sz="2" w:space="0"/>
            </w:tcBorders>
            <w:shd w:val="clear" w:color="auto" w:fill="FFFFFF"/>
            <w:noWrap w:val="0"/>
            <w:vAlign w:val="center"/>
          </w:tcPr>
          <w:p w14:paraId="3563ECBC">
            <w:pPr>
              <w:spacing w:line="300" w:lineRule="exact"/>
              <w:ind w:left="40" w:leftChars="20" w:right="40" w:rightChars="20"/>
              <w:jc w:val="center"/>
              <w:rPr>
                <w:rFonts w:hint="eastAsia" w:ascii="宋体" w:eastAsia="宋体"/>
                <w:b/>
                <w:sz w:val="21"/>
                <w:szCs w:val="21"/>
              </w:rPr>
            </w:pPr>
            <w:r>
              <w:rPr>
                <w:rFonts w:hint="eastAsia" w:ascii="宋体" w:eastAsia="宋体"/>
                <w:b/>
                <w:sz w:val="21"/>
                <w:szCs w:val="21"/>
              </w:rPr>
              <w:t>静态</w:t>
            </w:r>
          </w:p>
        </w:tc>
        <w:tc>
          <w:tcPr>
            <w:tcW w:w="1426" w:type="dxa"/>
            <w:vMerge w:val="continue"/>
            <w:tcBorders>
              <w:left w:val="single" w:color="000000" w:sz="2" w:space="0"/>
              <w:bottom w:val="single" w:color="auto" w:sz="4" w:space="0"/>
              <w:right w:val="single" w:color="000000" w:sz="2" w:space="0"/>
            </w:tcBorders>
            <w:shd w:val="clear" w:color="auto" w:fill="FFFFFF"/>
            <w:noWrap w:val="0"/>
            <w:vAlign w:val="center"/>
          </w:tcPr>
          <w:p w14:paraId="67E98039"/>
        </w:tc>
      </w:tr>
      <w:tr w14:paraId="7E14A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957" w:type="dxa"/>
            <w:vMerge w:val="restart"/>
            <w:tcBorders>
              <w:top w:val="single" w:color="auto" w:sz="4" w:space="0"/>
              <w:left w:val="single" w:color="000000" w:sz="2" w:space="0"/>
              <w:bottom w:val="single" w:color="000000" w:sz="2" w:space="0"/>
              <w:right w:val="single" w:color="000000" w:sz="2" w:space="0"/>
            </w:tcBorders>
            <w:shd w:val="clear" w:color="auto" w:fill="FFFFFF"/>
            <w:noWrap w:val="0"/>
            <w:vAlign w:val="center"/>
          </w:tcPr>
          <w:p w14:paraId="01949249">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悬浮粒子</w:t>
            </w:r>
          </w:p>
        </w:tc>
        <w:tc>
          <w:tcPr>
            <w:tcW w:w="1554" w:type="dxa"/>
            <w:tcBorders>
              <w:top w:val="single" w:color="auto" w:sz="4" w:space="0"/>
              <w:left w:val="single" w:color="000000" w:sz="2" w:space="0"/>
              <w:bottom w:val="single" w:color="000000" w:sz="2" w:space="0"/>
              <w:right w:val="single" w:color="000000" w:sz="2" w:space="0"/>
            </w:tcBorders>
            <w:shd w:val="clear" w:color="auto" w:fill="FFFFFF"/>
            <w:noWrap w:val="0"/>
            <w:vAlign w:val="center"/>
          </w:tcPr>
          <w:p w14:paraId="77B69A02">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≥0.5μm</w:t>
            </w:r>
          </w:p>
        </w:tc>
        <w:tc>
          <w:tcPr>
            <w:tcW w:w="2016" w:type="dxa"/>
            <w:tcBorders>
              <w:top w:val="single" w:color="auto" w:sz="4" w:space="0"/>
              <w:left w:val="single" w:color="000000" w:sz="2" w:space="0"/>
              <w:bottom w:val="single" w:color="000000" w:sz="2" w:space="0"/>
              <w:right w:val="single" w:color="000000" w:sz="2" w:space="0"/>
            </w:tcBorders>
            <w:shd w:val="clear" w:color="auto" w:fill="FFFFFF"/>
            <w:noWrap w:val="0"/>
            <w:vAlign w:val="center"/>
          </w:tcPr>
          <w:p w14:paraId="5E650572">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GB/T 16292</w:t>
            </w:r>
          </w:p>
        </w:tc>
        <w:tc>
          <w:tcPr>
            <w:tcW w:w="1595" w:type="dxa"/>
            <w:tcBorders>
              <w:top w:val="single" w:color="auto" w:sz="4" w:space="0"/>
              <w:left w:val="single" w:color="000000" w:sz="2" w:space="0"/>
              <w:bottom w:val="single" w:color="000000" w:sz="2" w:space="0"/>
              <w:right w:val="single" w:color="000000" w:sz="2" w:space="0"/>
            </w:tcBorders>
            <w:shd w:val="clear" w:color="auto" w:fill="FFFFFF"/>
            <w:noWrap w:val="0"/>
            <w:vAlign w:val="center"/>
          </w:tcPr>
          <w:p w14:paraId="212FB812">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w:t>
            </w:r>
          </w:p>
        </w:tc>
        <w:tc>
          <w:tcPr>
            <w:tcW w:w="1206" w:type="dxa"/>
            <w:tcBorders>
              <w:top w:val="single" w:color="auto" w:sz="4" w:space="0"/>
              <w:left w:val="single" w:color="000000" w:sz="2" w:space="0"/>
              <w:bottom w:val="single" w:color="000000" w:sz="2" w:space="0"/>
              <w:right w:val="single" w:color="000000" w:sz="2" w:space="0"/>
            </w:tcBorders>
            <w:shd w:val="clear" w:color="auto" w:fill="FFFFFF"/>
            <w:noWrap w:val="0"/>
            <w:vAlign w:val="center"/>
          </w:tcPr>
          <w:p w14:paraId="204F3C52">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≤3520000粒/m</w:t>
            </w:r>
            <w:r>
              <w:rPr>
                <w:rFonts w:hint="eastAsia" w:ascii="宋体" w:eastAsia="宋体"/>
                <w:sz w:val="21"/>
                <w:szCs w:val="21"/>
                <w:vertAlign w:val="superscript"/>
              </w:rPr>
              <w:t>3</w:t>
            </w:r>
          </w:p>
        </w:tc>
        <w:tc>
          <w:tcPr>
            <w:tcW w:w="1426" w:type="dxa"/>
            <w:tcBorders>
              <w:top w:val="single" w:color="auto" w:sz="4" w:space="0"/>
              <w:left w:val="single" w:color="000000" w:sz="2" w:space="0"/>
              <w:bottom w:val="single" w:color="000000" w:sz="2" w:space="0"/>
              <w:right w:val="single" w:color="000000" w:sz="2" w:space="0"/>
            </w:tcBorders>
            <w:shd w:val="clear" w:color="auto" w:fill="FFFFFF"/>
            <w:noWrap w:val="0"/>
            <w:vAlign w:val="center"/>
          </w:tcPr>
          <w:p w14:paraId="03D52024">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1次/年</w:t>
            </w:r>
          </w:p>
        </w:tc>
      </w:tr>
      <w:tr w14:paraId="09FAB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957" w:type="dxa"/>
            <w:vMerge w:val="continue"/>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AEF547F"/>
        </w:tc>
        <w:tc>
          <w:tcPr>
            <w:tcW w:w="1554"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78E6716">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≥5.0μm</w:t>
            </w:r>
          </w:p>
        </w:tc>
        <w:tc>
          <w:tcPr>
            <w:tcW w:w="201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5575765">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GB/T 16292</w:t>
            </w:r>
          </w:p>
        </w:tc>
        <w:tc>
          <w:tcPr>
            <w:tcW w:w="1595"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F587EF2">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w:t>
            </w:r>
          </w:p>
        </w:tc>
        <w:tc>
          <w:tcPr>
            <w:tcW w:w="120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054451B">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≤29000粒/m</w:t>
            </w:r>
            <w:r>
              <w:rPr>
                <w:rFonts w:hint="eastAsia" w:ascii="宋体" w:eastAsia="宋体"/>
                <w:sz w:val="21"/>
                <w:szCs w:val="21"/>
                <w:vertAlign w:val="superscript"/>
              </w:rPr>
              <w:t>3</w:t>
            </w:r>
          </w:p>
        </w:tc>
        <w:tc>
          <w:tcPr>
            <w:tcW w:w="14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5BC9ACB">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1次/年</w:t>
            </w:r>
          </w:p>
        </w:tc>
      </w:tr>
      <w:tr w14:paraId="5E1CC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957" w:type="dxa"/>
            <w:vMerge w:val="restart"/>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7CDD712">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微生物最大允许数</w:t>
            </w:r>
          </w:p>
        </w:tc>
        <w:tc>
          <w:tcPr>
            <w:tcW w:w="1554"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DC401C3">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浮游菌</w:t>
            </w:r>
          </w:p>
        </w:tc>
        <w:tc>
          <w:tcPr>
            <w:tcW w:w="201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286C297">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GB/T 16293</w:t>
            </w:r>
          </w:p>
        </w:tc>
        <w:tc>
          <w:tcPr>
            <w:tcW w:w="1595"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9D3A644">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≤200 cfu/m</w:t>
            </w:r>
            <w:r>
              <w:rPr>
                <w:rFonts w:hint="eastAsia" w:ascii="宋体" w:eastAsia="宋体"/>
                <w:sz w:val="21"/>
                <w:szCs w:val="21"/>
                <w:vertAlign w:val="superscript"/>
              </w:rPr>
              <w:t>3</w:t>
            </w:r>
          </w:p>
        </w:tc>
        <w:tc>
          <w:tcPr>
            <w:tcW w:w="120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3261144">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w:t>
            </w:r>
          </w:p>
        </w:tc>
        <w:tc>
          <w:tcPr>
            <w:tcW w:w="14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327C3A9">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1次/月</w:t>
            </w:r>
          </w:p>
        </w:tc>
      </w:tr>
      <w:tr w14:paraId="3E385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957" w:type="dxa"/>
            <w:vMerge w:val="continue"/>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7B4DBC3"/>
        </w:tc>
        <w:tc>
          <w:tcPr>
            <w:tcW w:w="1554"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6596354">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沉降菌</w:t>
            </w:r>
          </w:p>
        </w:tc>
        <w:tc>
          <w:tcPr>
            <w:tcW w:w="201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CDEBB3D">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GB/T 16294</w:t>
            </w:r>
          </w:p>
        </w:tc>
        <w:tc>
          <w:tcPr>
            <w:tcW w:w="1595"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21C70FB">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≤100 cfu/4h</w:t>
            </w:r>
          </w:p>
          <w:p w14:paraId="6577484E">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（φ90mm）</w:t>
            </w:r>
          </w:p>
        </w:tc>
        <w:tc>
          <w:tcPr>
            <w:tcW w:w="120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78040669">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w:t>
            </w:r>
          </w:p>
        </w:tc>
        <w:tc>
          <w:tcPr>
            <w:tcW w:w="14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A0615F1">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1次/月</w:t>
            </w:r>
          </w:p>
        </w:tc>
      </w:tr>
      <w:tr w14:paraId="1E887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957" w:type="dxa"/>
            <w:vMerge w:val="continue"/>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7B9DF2A"/>
        </w:tc>
        <w:tc>
          <w:tcPr>
            <w:tcW w:w="1554"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F4F19A5">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表面微生物</w:t>
            </w:r>
          </w:p>
        </w:tc>
        <w:tc>
          <w:tcPr>
            <w:tcW w:w="201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DF86E48">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参照GB 15982采样，按GB 4789.2计数</w:t>
            </w:r>
          </w:p>
        </w:tc>
        <w:tc>
          <w:tcPr>
            <w:tcW w:w="1595"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8DDA5F8">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≤50cfu/皿</w:t>
            </w:r>
          </w:p>
          <w:p w14:paraId="0768AB9C">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（φ55mm）</w:t>
            </w:r>
          </w:p>
        </w:tc>
        <w:tc>
          <w:tcPr>
            <w:tcW w:w="120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9333513">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w:t>
            </w:r>
          </w:p>
        </w:tc>
        <w:tc>
          <w:tcPr>
            <w:tcW w:w="14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2104EFA">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1次/月</w:t>
            </w:r>
          </w:p>
        </w:tc>
      </w:tr>
      <w:tr w14:paraId="4EE44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9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6647601">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压差</w:t>
            </w:r>
          </w:p>
        </w:tc>
        <w:tc>
          <w:tcPr>
            <w:tcW w:w="1554"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93FBDDB">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清洁作业区与非清洁作业区之间</w:t>
            </w:r>
          </w:p>
        </w:tc>
        <w:tc>
          <w:tcPr>
            <w:tcW w:w="201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11A6CCF">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通过压差计测量</w:t>
            </w:r>
          </w:p>
        </w:tc>
        <w:tc>
          <w:tcPr>
            <w:tcW w:w="2801" w:type="dxa"/>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B4033F1">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≥10Pa</w:t>
            </w:r>
          </w:p>
        </w:tc>
        <w:tc>
          <w:tcPr>
            <w:tcW w:w="14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3BCC1B5">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2次/班</w:t>
            </w:r>
          </w:p>
        </w:tc>
      </w:tr>
      <w:tr w14:paraId="6154B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9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99D1C54">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换气次数</w:t>
            </w:r>
          </w:p>
        </w:tc>
        <w:tc>
          <w:tcPr>
            <w:tcW w:w="1554"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606FCBB">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通过测定风速验证换气次数</w:t>
            </w:r>
          </w:p>
        </w:tc>
        <w:tc>
          <w:tcPr>
            <w:tcW w:w="201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AB509C6">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通过风速仪测定</w:t>
            </w:r>
          </w:p>
        </w:tc>
        <w:tc>
          <w:tcPr>
            <w:tcW w:w="2801" w:type="dxa"/>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6619994">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≥12次/h</w:t>
            </w:r>
          </w:p>
        </w:tc>
        <w:tc>
          <w:tcPr>
            <w:tcW w:w="14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BF86EE1">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更换高效过滤器时或1次/月</w:t>
            </w:r>
          </w:p>
        </w:tc>
      </w:tr>
      <w:tr w14:paraId="3BD7E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9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21A584F">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温度</w:t>
            </w:r>
          </w:p>
        </w:tc>
        <w:tc>
          <w:tcPr>
            <w:tcW w:w="1554"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F85B849">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w:t>
            </w:r>
          </w:p>
        </w:tc>
        <w:tc>
          <w:tcPr>
            <w:tcW w:w="201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75D36A5">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通过温度表测定</w:t>
            </w:r>
          </w:p>
        </w:tc>
        <w:tc>
          <w:tcPr>
            <w:tcW w:w="2801" w:type="dxa"/>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C2270C3">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16—25℃</w:t>
            </w:r>
          </w:p>
        </w:tc>
        <w:tc>
          <w:tcPr>
            <w:tcW w:w="14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323A85B">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2次/班</w:t>
            </w:r>
          </w:p>
        </w:tc>
      </w:tr>
      <w:tr w14:paraId="378E6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9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C8C637D">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相对湿度</w:t>
            </w:r>
          </w:p>
        </w:tc>
        <w:tc>
          <w:tcPr>
            <w:tcW w:w="1554"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1968B6D">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w:t>
            </w:r>
          </w:p>
        </w:tc>
        <w:tc>
          <w:tcPr>
            <w:tcW w:w="201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C4B77C9">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通过湿度表测定</w:t>
            </w:r>
          </w:p>
        </w:tc>
        <w:tc>
          <w:tcPr>
            <w:tcW w:w="2801" w:type="dxa"/>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4C186FA">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≤65%</w:t>
            </w:r>
          </w:p>
        </w:tc>
        <w:tc>
          <w:tcPr>
            <w:tcW w:w="14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36BA898">
            <w:pPr>
              <w:spacing w:line="300" w:lineRule="exact"/>
              <w:ind w:left="40" w:leftChars="20" w:right="40" w:rightChars="20"/>
              <w:jc w:val="center"/>
              <w:rPr>
                <w:rFonts w:hint="eastAsia" w:ascii="宋体" w:eastAsia="宋体"/>
                <w:sz w:val="21"/>
                <w:szCs w:val="21"/>
              </w:rPr>
            </w:pPr>
            <w:r>
              <w:rPr>
                <w:rFonts w:hint="eastAsia" w:ascii="宋体" w:eastAsia="宋体"/>
                <w:sz w:val="21"/>
                <w:szCs w:val="21"/>
              </w:rPr>
              <w:t>2次/班</w:t>
            </w:r>
          </w:p>
        </w:tc>
      </w:tr>
      <w:tr w14:paraId="62E40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8754" w:type="dxa"/>
            <w:gridSpan w:val="6"/>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D261616">
            <w:pPr>
              <w:spacing w:line="300" w:lineRule="exact"/>
              <w:ind w:left="40" w:leftChars="20" w:right="40" w:rightChars="20"/>
              <w:rPr>
                <w:rFonts w:hint="eastAsia" w:ascii="宋体" w:eastAsia="宋体"/>
                <w:sz w:val="21"/>
                <w:szCs w:val="21"/>
              </w:rPr>
            </w:pPr>
            <w:r>
              <w:rPr>
                <w:rFonts w:hint="eastAsia" w:ascii="宋体" w:eastAsia="宋体"/>
                <w:sz w:val="21"/>
                <w:szCs w:val="21"/>
              </w:rPr>
              <w:t>注：换气次数通过风速进行转换后测定。计算公式为：N=3600SV/A，监测时通过风速计算。其中，N=换气次数，次/h；S=风口通风面积，m</w:t>
            </w:r>
            <w:r>
              <w:rPr>
                <w:rFonts w:hint="eastAsia" w:ascii="宋体" w:eastAsia="宋体"/>
                <w:sz w:val="21"/>
                <w:szCs w:val="21"/>
                <w:vertAlign w:val="superscript"/>
              </w:rPr>
              <w:t>2</w:t>
            </w:r>
            <w:r>
              <w:rPr>
                <w:rFonts w:hint="eastAsia" w:ascii="宋体" w:eastAsia="宋体"/>
                <w:sz w:val="21"/>
                <w:szCs w:val="21"/>
              </w:rPr>
              <w:t>；A=车间容积，m</w:t>
            </w:r>
            <w:r>
              <w:rPr>
                <w:rFonts w:hint="eastAsia" w:ascii="宋体" w:eastAsia="宋体"/>
                <w:sz w:val="21"/>
                <w:szCs w:val="21"/>
                <w:vertAlign w:val="superscript"/>
              </w:rPr>
              <w:t>3</w:t>
            </w:r>
            <w:r>
              <w:rPr>
                <w:rFonts w:hint="eastAsia" w:ascii="宋体" w:eastAsia="宋体"/>
                <w:sz w:val="21"/>
                <w:szCs w:val="21"/>
              </w:rPr>
              <w:t>；V=测得风口平均风速，m/s。温度和相对湿度因生产工艺要求与上述控制要求不一致的，应当有合理的说明。</w:t>
            </w:r>
          </w:p>
        </w:tc>
      </w:tr>
    </w:tbl>
    <w:p w14:paraId="2CADC048">
      <w:pPr>
        <w:spacing w:line="590" w:lineRule="exact"/>
        <w:ind w:firstLine="544" w:firstLineChars="200"/>
        <w:rPr>
          <w:rFonts w:ascii="楷体" w:eastAsia="楷体"/>
          <w:sz w:val="28"/>
          <w:szCs w:val="28"/>
        </w:rPr>
      </w:pPr>
      <w:bookmarkStart w:id="11" w:name="_Toc416939948"/>
      <w:bookmarkEnd w:id="11"/>
      <w:bookmarkStart w:id="12" w:name="_Toc415228661"/>
    </w:p>
    <w:p w14:paraId="362931B0">
      <w:pPr>
        <w:spacing w:line="590" w:lineRule="exact"/>
        <w:ind w:firstLine="544" w:firstLineChars="200"/>
        <w:rPr>
          <w:rFonts w:hint="eastAsia" w:ascii="楷体" w:eastAsia="楷体"/>
          <w:sz w:val="28"/>
          <w:szCs w:val="28"/>
        </w:rPr>
      </w:pPr>
      <w:r>
        <w:rPr>
          <w:rFonts w:hint="eastAsia" w:ascii="楷体" w:eastAsia="楷体"/>
          <w:sz w:val="28"/>
          <w:szCs w:val="28"/>
        </w:rPr>
        <w:t>（四）设备布局与工艺流程</w:t>
      </w:r>
      <w:bookmarkEnd w:id="12"/>
    </w:p>
    <w:p w14:paraId="3DD77817">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bookmarkStart w:id="13" w:name="_Toc415228668"/>
      <w:r>
        <w:rPr>
          <w:rFonts w:hint="eastAsia" w:ascii="仿宋_GB2312" w:hAnsi="仿宋_GB2312" w:eastAsia="仿宋_GB2312" w:cs="仿宋_GB2312"/>
          <w:kern w:val="0"/>
          <w:sz w:val="28"/>
          <w:szCs w:val="28"/>
          <w:lang w:val="zh-CN" w:bidi="ar"/>
        </w:rPr>
        <mc:AlternateContent>
          <mc:Choice Requires="wps">
            <w:drawing>
              <wp:anchor distT="45720" distB="45720" distL="114300" distR="114300" simplePos="0" relativeHeight="251664384" behindDoc="0" locked="0" layoutInCell="1" allowOverlap="1">
                <wp:simplePos x="0" y="0"/>
                <wp:positionH relativeFrom="column">
                  <wp:posOffset>5538470</wp:posOffset>
                </wp:positionH>
                <wp:positionV relativeFrom="paragraph">
                  <wp:posOffset>1254125</wp:posOffset>
                </wp:positionV>
                <wp:extent cx="443230" cy="467360"/>
                <wp:effectExtent l="0" t="0" r="13970" b="8890"/>
                <wp:wrapSquare wrapText="bothSides"/>
                <wp:docPr id="5" name="文本框 5"/>
                <wp:cNvGraphicFramePr/>
                <a:graphic xmlns:a="http://schemas.openxmlformats.org/drawingml/2006/main">
                  <a:graphicData uri="http://schemas.microsoft.com/office/word/2010/wordprocessingShape">
                    <wps:wsp>
                      <wps:cNvSpPr txBox="1"/>
                      <wps:spPr>
                        <a:xfrm>
                          <a:off x="0" y="0"/>
                          <a:ext cx="443230" cy="467360"/>
                        </a:xfrm>
                        <a:prstGeom prst="rect">
                          <a:avLst/>
                        </a:prstGeom>
                        <a:solidFill>
                          <a:srgbClr val="FFFFFF"/>
                        </a:solidFill>
                        <a:ln>
                          <a:noFill/>
                        </a:ln>
                      </wps:spPr>
                      <wps:txbx>
                        <w:txbxContent>
                          <w:p w14:paraId="41204FF8">
                            <w:pPr>
                              <w:rPr>
                                <w:rFonts w:hint="eastAsia"/>
                                <w:sz w:val="18"/>
                                <w:szCs w:val="18"/>
                              </w:rPr>
                            </w:pPr>
                            <w:r>
                              <w:rPr>
                                <w:rFonts w:hint="eastAsia"/>
                                <w:sz w:val="18"/>
                                <w:szCs w:val="18"/>
                              </w:rPr>
                              <w:t>7</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36.1pt;margin-top:98.75pt;height:36.8pt;width:34.9pt;mso-wrap-distance-bottom:3.6pt;mso-wrap-distance-left:9pt;mso-wrap-distance-right:9pt;mso-wrap-distance-top:3.6pt;z-index:251664384;mso-width-relative:page;mso-height-relative:margin;mso-height-percent:200;" fillcolor="#FFFFFF" filled="t" stroked="f" coordsize="21600,21600" o:gfxdata="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9OaWjZAAAACwEAAA8AAAAAAAAAAQAgAAAAIgAA&#10;AGRycy9kb3ducmV2LnhtbFBLAQIUABQAAAAIAIdO4kCdyUaNzgEAAJADAAAOAAAAAAAAAAEAIAAA&#10;ACgBAABkcnMvZTJvRG9jLnhtbFBLBQYAAAAABgAGAFkBAABoBQAAAAA=&#10;">
                <v:fill on="t" focussize="0,0"/>
                <v:stroke on="f"/>
                <v:imagedata o:title=""/>
                <o:lock v:ext="edit" aspectratio="f"/>
                <v:textbox style="mso-fit-shape-to-text:t;">
                  <w:txbxContent>
                    <w:p w14:paraId="41204FF8">
                      <w:pPr>
                        <w:rPr>
                          <w:rFonts w:hint="eastAsia"/>
                          <w:sz w:val="18"/>
                          <w:szCs w:val="18"/>
                        </w:rPr>
                      </w:pPr>
                      <w:r>
                        <w:rPr>
                          <w:rFonts w:hint="eastAsia"/>
                          <w:sz w:val="18"/>
                          <w:szCs w:val="18"/>
                        </w:rPr>
                        <w:t>7</w:t>
                      </w:r>
                    </w:p>
                  </w:txbxContent>
                </v:textbox>
                <w10:wrap type="square"/>
              </v:shape>
            </w:pict>
          </mc:Fallback>
        </mc:AlternateContent>
      </w:r>
      <w:r>
        <w:rPr>
          <w:rFonts w:hint="eastAsia" w:ascii="仿宋_GB2312" w:hAnsi="仿宋_GB2312" w:eastAsia="仿宋_GB2312" w:cs="仿宋_GB2312"/>
          <w:kern w:val="0"/>
          <w:sz w:val="28"/>
          <w:szCs w:val="28"/>
          <w:shd w:val="clear" w:color="auto" w:fill="FFFFFF"/>
          <w:lang w:bidi="ar"/>
        </w:rPr>
        <w:t>生产设备的配备应与产品加工工艺相符，按照相同或相似食品形态类产品应具备生产工艺相适应的生产设备。</w:t>
      </w:r>
      <w:bookmarkEnd w:id="13"/>
    </w:p>
    <w:p w14:paraId="68868AB4">
      <w:pPr>
        <w:tabs>
          <w:tab w:val="left" w:pos="624"/>
          <w:tab w:val="center" w:pos="4365"/>
        </w:tabs>
        <w:spacing w:before="177" w:beforeLines="30" w:after="177" w:afterLines="30" w:line="590" w:lineRule="exact"/>
        <w:ind w:firstLine="2088" w:firstLineChars="900"/>
        <w:rPr>
          <w:rFonts w:hint="eastAsia" w:ascii="仿宋"/>
          <w:b/>
          <w:sz w:val="24"/>
          <w:szCs w:val="24"/>
        </w:rPr>
      </w:pPr>
      <w:r>
        <w:rPr>
          <w:rFonts w:hint="eastAsia" w:ascii="仿宋"/>
          <w:b/>
          <w:sz w:val="24"/>
          <w:szCs w:val="24"/>
        </w:rPr>
        <w:t>表4运动营养食品基本生产工艺和设备</w:t>
      </w:r>
    </w:p>
    <w:tbl>
      <w:tblPr>
        <w:tblStyle w:val="5"/>
        <w:tblW w:w="87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3"/>
        <w:gridCol w:w="1630"/>
        <w:gridCol w:w="2926"/>
        <w:gridCol w:w="3533"/>
      </w:tblGrid>
      <w:tr w14:paraId="7F63C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66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4B67CF6">
            <w:pPr>
              <w:spacing w:line="320" w:lineRule="exact"/>
              <w:ind w:left="40" w:leftChars="20" w:right="40" w:rightChars="20"/>
              <w:jc w:val="center"/>
              <w:rPr>
                <w:rFonts w:hint="eastAsia" w:ascii="宋体" w:eastAsia="宋体"/>
                <w:b/>
                <w:sz w:val="21"/>
                <w:szCs w:val="21"/>
              </w:rPr>
            </w:pPr>
            <w:bookmarkStart w:id="14" w:name="_Hlk240959316"/>
            <w:r>
              <w:rPr>
                <w:rFonts w:hint="eastAsia" w:ascii="宋体" w:eastAsia="宋体"/>
                <w:b/>
                <w:sz w:val="21"/>
                <w:szCs w:val="21"/>
              </w:rPr>
              <w:t>序号</w:t>
            </w:r>
          </w:p>
        </w:tc>
        <w:tc>
          <w:tcPr>
            <w:tcW w:w="1630"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8E3BEA2">
            <w:pPr>
              <w:spacing w:line="320" w:lineRule="exact"/>
              <w:ind w:left="40" w:leftChars="20" w:right="40" w:rightChars="20"/>
              <w:jc w:val="center"/>
              <w:rPr>
                <w:rFonts w:hint="eastAsia" w:ascii="宋体" w:eastAsia="宋体"/>
                <w:b/>
                <w:sz w:val="21"/>
                <w:szCs w:val="21"/>
              </w:rPr>
            </w:pPr>
            <w:r>
              <w:rPr>
                <w:rFonts w:hint="eastAsia" w:ascii="宋体" w:eastAsia="宋体"/>
                <w:b/>
                <w:sz w:val="21"/>
                <w:szCs w:val="21"/>
              </w:rPr>
              <w:t>基本生产工艺</w:t>
            </w:r>
          </w:p>
        </w:tc>
        <w:tc>
          <w:tcPr>
            <w:tcW w:w="29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08AD1EA">
            <w:pPr>
              <w:spacing w:line="320" w:lineRule="exact"/>
              <w:ind w:left="40" w:leftChars="20" w:right="40" w:rightChars="20"/>
              <w:jc w:val="center"/>
              <w:rPr>
                <w:rFonts w:hint="eastAsia" w:ascii="宋体" w:eastAsia="宋体"/>
                <w:b/>
                <w:sz w:val="21"/>
                <w:szCs w:val="21"/>
              </w:rPr>
            </w:pPr>
            <w:r>
              <w:rPr>
                <w:rFonts w:hint="eastAsia" w:ascii="宋体" w:eastAsia="宋体"/>
                <w:b/>
                <w:sz w:val="21"/>
                <w:szCs w:val="21"/>
              </w:rPr>
              <w:t>生产设备</w:t>
            </w:r>
          </w:p>
        </w:tc>
        <w:tc>
          <w:tcPr>
            <w:tcW w:w="353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FDECDD7">
            <w:pPr>
              <w:spacing w:line="320" w:lineRule="exact"/>
              <w:ind w:left="40" w:leftChars="20" w:right="40" w:rightChars="20"/>
              <w:jc w:val="center"/>
              <w:rPr>
                <w:rFonts w:hint="eastAsia" w:ascii="宋体" w:eastAsia="宋体"/>
                <w:b/>
                <w:sz w:val="21"/>
                <w:szCs w:val="21"/>
              </w:rPr>
            </w:pPr>
            <w:r>
              <w:rPr>
                <w:rFonts w:hint="eastAsia" w:ascii="宋体" w:eastAsia="宋体"/>
                <w:b/>
                <w:sz w:val="21"/>
                <w:szCs w:val="21"/>
              </w:rPr>
              <w:t>生产设备要求</w:t>
            </w:r>
          </w:p>
        </w:tc>
      </w:tr>
      <w:tr w14:paraId="5EF69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0FBA6E9">
            <w:pPr>
              <w:spacing w:line="320" w:lineRule="exact"/>
              <w:ind w:left="40" w:leftChars="20" w:right="40" w:rightChars="20"/>
              <w:jc w:val="center"/>
              <w:rPr>
                <w:rFonts w:hint="eastAsia" w:ascii="宋体" w:eastAsia="宋体"/>
                <w:sz w:val="21"/>
                <w:szCs w:val="21"/>
              </w:rPr>
            </w:pPr>
            <w:r>
              <w:rPr>
                <w:rFonts w:hint="eastAsia" w:ascii="宋体" w:eastAsia="宋体"/>
                <w:sz w:val="21"/>
                <w:szCs w:val="21"/>
              </w:rPr>
              <w:t>1</w:t>
            </w:r>
          </w:p>
        </w:tc>
        <w:tc>
          <w:tcPr>
            <w:tcW w:w="1630"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7738AD55">
            <w:pPr>
              <w:spacing w:line="320" w:lineRule="exact"/>
              <w:ind w:left="40" w:leftChars="20" w:right="40" w:rightChars="20"/>
              <w:rPr>
                <w:rFonts w:hint="eastAsia" w:ascii="宋体" w:eastAsia="宋体"/>
                <w:sz w:val="21"/>
                <w:szCs w:val="21"/>
              </w:rPr>
            </w:pPr>
            <w:r>
              <w:rPr>
                <w:rFonts w:hint="eastAsia" w:ascii="宋体" w:eastAsia="宋体"/>
                <w:sz w:val="21"/>
                <w:szCs w:val="21"/>
              </w:rPr>
              <w:t>原料处理</w:t>
            </w:r>
          </w:p>
        </w:tc>
        <w:tc>
          <w:tcPr>
            <w:tcW w:w="29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4711BF3">
            <w:pPr>
              <w:spacing w:line="320" w:lineRule="exact"/>
              <w:ind w:left="40" w:leftChars="20" w:right="40" w:rightChars="20"/>
              <w:rPr>
                <w:rFonts w:hint="eastAsia" w:ascii="宋体" w:eastAsia="宋体"/>
                <w:sz w:val="21"/>
                <w:szCs w:val="21"/>
              </w:rPr>
            </w:pPr>
            <w:r>
              <w:rPr>
                <w:rFonts w:hint="eastAsia" w:ascii="宋体" w:eastAsia="宋体"/>
                <w:sz w:val="21"/>
                <w:szCs w:val="21"/>
              </w:rPr>
              <w:t>原辅料处理设施（清洗设备、浸泡设备、粉碎设备、过筛设备、干燥设备、提取设备等）</w:t>
            </w:r>
          </w:p>
        </w:tc>
        <w:tc>
          <w:tcPr>
            <w:tcW w:w="353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DCEB00C">
            <w:pPr>
              <w:spacing w:line="320" w:lineRule="exact"/>
              <w:ind w:left="40" w:leftChars="20" w:right="40" w:rightChars="20"/>
              <w:rPr>
                <w:rFonts w:hint="eastAsia" w:ascii="宋体" w:eastAsia="宋体"/>
                <w:sz w:val="21"/>
                <w:szCs w:val="21"/>
              </w:rPr>
            </w:pPr>
            <w:r>
              <w:rPr>
                <w:rFonts w:hint="eastAsia" w:ascii="宋体" w:eastAsia="宋体"/>
                <w:sz w:val="21"/>
                <w:szCs w:val="21"/>
              </w:rPr>
              <w:t>应具备与相同或相似类别的食品工艺要求相应的设备</w:t>
            </w:r>
          </w:p>
        </w:tc>
      </w:tr>
      <w:bookmarkEnd w:id="14"/>
      <w:tr w14:paraId="1627C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7A9BD0D8">
            <w:pPr>
              <w:spacing w:line="320" w:lineRule="exact"/>
              <w:ind w:left="40" w:leftChars="20" w:right="40" w:rightChars="20"/>
              <w:jc w:val="center"/>
              <w:rPr>
                <w:rFonts w:hint="eastAsia" w:ascii="宋体" w:eastAsia="宋体"/>
                <w:sz w:val="21"/>
                <w:szCs w:val="21"/>
              </w:rPr>
            </w:pPr>
            <w:r>
              <w:rPr>
                <w:rFonts w:hint="eastAsia" w:ascii="宋体" w:eastAsia="宋体"/>
                <w:sz w:val="21"/>
                <w:szCs w:val="21"/>
              </w:rPr>
              <w:t>2</w:t>
            </w:r>
          </w:p>
        </w:tc>
        <w:tc>
          <w:tcPr>
            <w:tcW w:w="1630"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C251C9A">
            <w:pPr>
              <w:spacing w:line="320" w:lineRule="exact"/>
              <w:ind w:left="40" w:leftChars="20" w:right="40" w:rightChars="20"/>
              <w:rPr>
                <w:rFonts w:hint="eastAsia" w:ascii="宋体" w:eastAsia="宋体"/>
                <w:sz w:val="21"/>
                <w:szCs w:val="21"/>
              </w:rPr>
            </w:pPr>
            <w:r>
              <w:rPr>
                <w:rFonts w:hint="eastAsia" w:ascii="宋体" w:eastAsia="宋体"/>
                <w:sz w:val="21"/>
                <w:szCs w:val="21"/>
              </w:rPr>
              <w:t>配料混合</w:t>
            </w:r>
          </w:p>
        </w:tc>
        <w:tc>
          <w:tcPr>
            <w:tcW w:w="29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0CAA7E5">
            <w:pPr>
              <w:spacing w:line="320" w:lineRule="exact"/>
              <w:ind w:left="40" w:leftChars="20" w:right="40" w:rightChars="20"/>
              <w:rPr>
                <w:rFonts w:hint="eastAsia" w:ascii="宋体" w:eastAsia="宋体"/>
                <w:sz w:val="21"/>
                <w:szCs w:val="21"/>
              </w:rPr>
            </w:pPr>
            <w:r>
              <w:rPr>
                <w:rFonts w:hint="eastAsia" w:ascii="宋体" w:eastAsia="宋体"/>
                <w:sz w:val="21"/>
                <w:szCs w:val="21"/>
              </w:rPr>
              <w:t>称量设备、混合设备、贮存设备等</w:t>
            </w:r>
          </w:p>
        </w:tc>
        <w:tc>
          <w:tcPr>
            <w:tcW w:w="353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7C97ED76">
            <w:pPr>
              <w:spacing w:line="320" w:lineRule="exact"/>
              <w:ind w:left="40" w:leftChars="20" w:right="40" w:rightChars="20"/>
              <w:rPr>
                <w:rFonts w:hint="eastAsia" w:ascii="宋体" w:eastAsia="宋体"/>
                <w:sz w:val="21"/>
                <w:szCs w:val="21"/>
              </w:rPr>
            </w:pPr>
            <w:r>
              <w:rPr>
                <w:rFonts w:hint="eastAsia" w:ascii="宋体" w:eastAsia="宋体"/>
                <w:sz w:val="21"/>
                <w:szCs w:val="21"/>
              </w:rPr>
              <w:t>称量设备的量程、精度应匹配生产投料的要求</w:t>
            </w:r>
          </w:p>
        </w:tc>
      </w:tr>
      <w:tr w14:paraId="31A87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A4D5C4B">
            <w:pPr>
              <w:spacing w:line="320" w:lineRule="exact"/>
              <w:ind w:left="40" w:leftChars="20" w:right="40" w:rightChars="20"/>
              <w:jc w:val="center"/>
              <w:rPr>
                <w:rFonts w:hint="eastAsia" w:ascii="宋体" w:eastAsia="宋体"/>
                <w:sz w:val="21"/>
                <w:szCs w:val="21"/>
              </w:rPr>
            </w:pPr>
            <w:r>
              <w:rPr>
                <w:rFonts w:hint="eastAsia" w:ascii="宋体" w:eastAsia="宋体"/>
                <w:sz w:val="21"/>
                <w:szCs w:val="21"/>
              </w:rPr>
              <w:t>3</w:t>
            </w:r>
          </w:p>
        </w:tc>
        <w:tc>
          <w:tcPr>
            <w:tcW w:w="1630"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7A894BB7">
            <w:pPr>
              <w:spacing w:line="320" w:lineRule="exact"/>
              <w:ind w:left="40" w:leftChars="20" w:right="40" w:rightChars="20"/>
              <w:rPr>
                <w:rFonts w:hint="eastAsia" w:ascii="宋体" w:eastAsia="宋体"/>
                <w:sz w:val="21"/>
                <w:szCs w:val="21"/>
              </w:rPr>
            </w:pPr>
            <w:r>
              <w:rPr>
                <w:rFonts w:hint="eastAsia" w:ascii="宋体" w:eastAsia="宋体"/>
                <w:sz w:val="21"/>
                <w:szCs w:val="21"/>
              </w:rPr>
              <w:t>灭菌</w:t>
            </w:r>
          </w:p>
        </w:tc>
        <w:tc>
          <w:tcPr>
            <w:tcW w:w="29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D6EC71F">
            <w:pPr>
              <w:spacing w:line="320" w:lineRule="exact"/>
              <w:ind w:left="40" w:leftChars="20" w:right="40" w:rightChars="20"/>
              <w:rPr>
                <w:rFonts w:hint="eastAsia" w:ascii="宋体" w:eastAsia="宋体"/>
                <w:sz w:val="21"/>
                <w:szCs w:val="21"/>
              </w:rPr>
            </w:pPr>
            <w:r>
              <w:rPr>
                <w:rFonts w:hint="eastAsia" w:ascii="宋体" w:eastAsia="宋体"/>
                <w:sz w:val="21"/>
                <w:szCs w:val="21"/>
              </w:rPr>
              <w:t xml:space="preserve"> 灭菌设备</w:t>
            </w:r>
          </w:p>
        </w:tc>
        <w:tc>
          <w:tcPr>
            <w:tcW w:w="353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4163166">
            <w:pPr>
              <w:spacing w:line="320" w:lineRule="exact"/>
              <w:ind w:left="40" w:leftChars="20" w:right="40" w:rightChars="20"/>
              <w:rPr>
                <w:rFonts w:hint="eastAsia" w:ascii="宋体" w:eastAsia="宋体"/>
                <w:sz w:val="21"/>
                <w:szCs w:val="21"/>
              </w:rPr>
            </w:pPr>
            <w:r>
              <w:rPr>
                <w:rFonts w:hint="eastAsia" w:ascii="宋体" w:eastAsia="宋体"/>
                <w:sz w:val="21"/>
                <w:szCs w:val="21"/>
              </w:rPr>
              <w:t>带有温度和压力控制装置</w:t>
            </w:r>
          </w:p>
        </w:tc>
      </w:tr>
      <w:tr w14:paraId="69BB0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4E25180">
            <w:pPr>
              <w:spacing w:line="320" w:lineRule="exact"/>
              <w:ind w:left="40" w:leftChars="20" w:right="40" w:rightChars="20"/>
              <w:jc w:val="center"/>
              <w:rPr>
                <w:rFonts w:hint="eastAsia" w:ascii="宋体" w:eastAsia="宋体"/>
                <w:sz w:val="21"/>
                <w:szCs w:val="21"/>
              </w:rPr>
            </w:pPr>
            <w:r>
              <w:rPr>
                <w:rFonts w:hint="eastAsia" w:ascii="宋体" w:eastAsia="宋体"/>
                <w:sz w:val="21"/>
                <w:szCs w:val="21"/>
              </w:rPr>
              <w:t>4</w:t>
            </w:r>
          </w:p>
        </w:tc>
        <w:tc>
          <w:tcPr>
            <w:tcW w:w="1630"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805A18A">
            <w:pPr>
              <w:spacing w:line="320" w:lineRule="exact"/>
              <w:ind w:left="40" w:leftChars="20" w:right="40" w:rightChars="20"/>
              <w:rPr>
                <w:rFonts w:hint="eastAsia" w:ascii="宋体" w:eastAsia="宋体"/>
                <w:sz w:val="21"/>
                <w:szCs w:val="21"/>
              </w:rPr>
            </w:pPr>
            <w:r>
              <w:rPr>
                <w:rFonts w:hint="eastAsia" w:ascii="宋体" w:eastAsia="宋体"/>
                <w:sz w:val="21"/>
                <w:szCs w:val="21"/>
              </w:rPr>
              <w:t>成型</w:t>
            </w:r>
          </w:p>
        </w:tc>
        <w:tc>
          <w:tcPr>
            <w:tcW w:w="29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5613569">
            <w:pPr>
              <w:spacing w:line="320" w:lineRule="exact"/>
              <w:ind w:left="40" w:leftChars="20" w:right="40" w:rightChars="20"/>
              <w:rPr>
                <w:rFonts w:hint="eastAsia" w:ascii="宋体" w:eastAsia="宋体"/>
                <w:sz w:val="21"/>
                <w:szCs w:val="21"/>
              </w:rPr>
            </w:pPr>
            <w:r>
              <w:rPr>
                <w:rFonts w:hint="eastAsia" w:ascii="宋体" w:eastAsia="宋体"/>
                <w:sz w:val="21"/>
                <w:szCs w:val="21"/>
              </w:rPr>
              <w:t>成型设备、制丸设备、熟制设备、干燥设备、冷却设备等</w:t>
            </w:r>
          </w:p>
        </w:tc>
        <w:tc>
          <w:tcPr>
            <w:tcW w:w="353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ADF5F2C">
            <w:pPr>
              <w:spacing w:line="320" w:lineRule="exact"/>
              <w:ind w:left="40" w:leftChars="20" w:right="40" w:rightChars="20"/>
              <w:rPr>
                <w:rFonts w:hint="eastAsia" w:ascii="宋体" w:eastAsia="宋体"/>
                <w:sz w:val="21"/>
                <w:szCs w:val="21"/>
              </w:rPr>
            </w:pPr>
            <w:r>
              <w:rPr>
                <w:rFonts w:hint="eastAsia" w:ascii="宋体" w:eastAsia="宋体"/>
                <w:sz w:val="21"/>
                <w:szCs w:val="21"/>
              </w:rPr>
              <w:t>应具备与相同或相似类别的食品工艺要求相应的设备</w:t>
            </w:r>
          </w:p>
        </w:tc>
      </w:tr>
      <w:tr w14:paraId="63EAA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1BA8C3D">
            <w:pPr>
              <w:spacing w:line="320" w:lineRule="exact"/>
              <w:ind w:left="40" w:leftChars="20" w:right="40" w:rightChars="20"/>
              <w:jc w:val="center"/>
              <w:rPr>
                <w:rFonts w:hint="eastAsia" w:ascii="宋体" w:eastAsia="宋体"/>
                <w:sz w:val="21"/>
                <w:szCs w:val="21"/>
              </w:rPr>
            </w:pPr>
            <w:r>
              <w:rPr>
                <w:rFonts w:hint="eastAsia" w:ascii="宋体" w:eastAsia="宋体"/>
                <w:sz w:val="21"/>
                <w:szCs w:val="21"/>
              </w:rPr>
              <w:t>5</w:t>
            </w:r>
          </w:p>
        </w:tc>
        <w:tc>
          <w:tcPr>
            <w:tcW w:w="1630"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AB0842B">
            <w:pPr>
              <w:spacing w:line="320" w:lineRule="exact"/>
              <w:ind w:left="40" w:leftChars="20" w:right="40" w:rightChars="20"/>
              <w:rPr>
                <w:rFonts w:hint="eastAsia" w:ascii="宋体" w:eastAsia="宋体"/>
                <w:sz w:val="21"/>
                <w:szCs w:val="21"/>
              </w:rPr>
            </w:pPr>
            <w:r>
              <w:rPr>
                <w:rFonts w:hint="eastAsia" w:ascii="宋体" w:eastAsia="宋体"/>
                <w:sz w:val="21"/>
                <w:szCs w:val="21"/>
              </w:rPr>
              <w:t>包装</w:t>
            </w:r>
          </w:p>
        </w:tc>
        <w:tc>
          <w:tcPr>
            <w:tcW w:w="29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6EA0CA4">
            <w:pPr>
              <w:spacing w:line="320" w:lineRule="exact"/>
              <w:ind w:left="40" w:leftChars="20" w:right="40" w:rightChars="20"/>
              <w:rPr>
                <w:rFonts w:hint="eastAsia" w:ascii="宋体" w:eastAsia="宋体"/>
                <w:sz w:val="21"/>
                <w:szCs w:val="21"/>
              </w:rPr>
            </w:pPr>
            <w:r>
              <w:rPr>
                <w:rFonts w:hint="eastAsia" w:ascii="宋体" w:eastAsia="宋体"/>
                <w:sz w:val="21"/>
                <w:szCs w:val="21"/>
              </w:rPr>
              <w:t>全自动包装设备</w:t>
            </w:r>
          </w:p>
        </w:tc>
        <w:tc>
          <w:tcPr>
            <w:tcW w:w="353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8C6DB0E">
            <w:pPr>
              <w:spacing w:line="320" w:lineRule="exact"/>
              <w:ind w:left="40" w:leftChars="20" w:right="40" w:rightChars="20"/>
              <w:rPr>
                <w:rFonts w:hint="eastAsia" w:ascii="宋体" w:eastAsia="宋体"/>
                <w:sz w:val="21"/>
                <w:szCs w:val="21"/>
              </w:rPr>
            </w:pPr>
            <w:r>
              <w:rPr>
                <w:rFonts w:hint="eastAsia" w:ascii="宋体" w:eastAsia="宋体"/>
                <w:sz w:val="21"/>
                <w:szCs w:val="21"/>
              </w:rPr>
              <w:t>带有自动质量计量和剔除系统</w:t>
            </w:r>
          </w:p>
        </w:tc>
      </w:tr>
      <w:tr w14:paraId="641CE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7E18281B">
            <w:pPr>
              <w:spacing w:line="320" w:lineRule="exact"/>
              <w:ind w:left="40" w:leftChars="20" w:right="40" w:rightChars="20"/>
              <w:jc w:val="center"/>
              <w:rPr>
                <w:rFonts w:hint="eastAsia" w:ascii="宋体" w:eastAsia="宋体"/>
                <w:sz w:val="21"/>
                <w:szCs w:val="21"/>
              </w:rPr>
            </w:pPr>
            <w:r>
              <w:rPr>
                <w:rFonts w:hint="eastAsia" w:ascii="宋体" w:eastAsia="宋体"/>
                <w:sz w:val="21"/>
                <w:szCs w:val="21"/>
              </w:rPr>
              <w:t>6</w:t>
            </w:r>
          </w:p>
        </w:tc>
        <w:tc>
          <w:tcPr>
            <w:tcW w:w="1630"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0497A38">
            <w:pPr>
              <w:spacing w:line="320" w:lineRule="exact"/>
              <w:ind w:left="40" w:leftChars="20" w:right="40" w:rightChars="20"/>
              <w:rPr>
                <w:rFonts w:hint="eastAsia" w:ascii="宋体" w:eastAsia="宋体"/>
                <w:sz w:val="21"/>
                <w:szCs w:val="21"/>
              </w:rPr>
            </w:pPr>
            <w:r>
              <w:rPr>
                <w:rFonts w:hint="eastAsia" w:ascii="宋体" w:eastAsia="宋体"/>
                <w:sz w:val="21"/>
                <w:szCs w:val="21"/>
              </w:rPr>
              <w:t>在线或成品金属检测</w:t>
            </w:r>
          </w:p>
        </w:tc>
        <w:tc>
          <w:tcPr>
            <w:tcW w:w="292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2DE0C630">
            <w:pPr>
              <w:spacing w:line="320" w:lineRule="exact"/>
              <w:ind w:left="40" w:leftChars="20" w:right="40" w:rightChars="20"/>
              <w:rPr>
                <w:rFonts w:hint="eastAsia" w:ascii="宋体" w:eastAsia="宋体"/>
                <w:sz w:val="21"/>
                <w:szCs w:val="21"/>
              </w:rPr>
            </w:pPr>
            <w:r>
              <w:rPr>
                <w:rFonts w:hint="eastAsia" w:ascii="宋体" w:eastAsia="宋体"/>
                <w:sz w:val="21"/>
                <w:szCs w:val="21"/>
              </w:rPr>
              <w:t>X光异物监控设备或金属检测设备</w:t>
            </w:r>
          </w:p>
        </w:tc>
        <w:tc>
          <w:tcPr>
            <w:tcW w:w="3533"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316E6075">
            <w:pPr>
              <w:spacing w:line="320" w:lineRule="exact"/>
              <w:ind w:left="40" w:leftChars="20" w:right="40" w:rightChars="20"/>
              <w:rPr>
                <w:rFonts w:hint="eastAsia" w:ascii="宋体" w:eastAsia="宋体"/>
                <w:sz w:val="21"/>
                <w:szCs w:val="21"/>
              </w:rPr>
            </w:pPr>
            <w:r>
              <w:rPr>
                <w:rFonts w:hint="eastAsia" w:ascii="宋体" w:eastAsia="宋体"/>
                <w:sz w:val="21"/>
                <w:szCs w:val="21"/>
              </w:rPr>
              <w:t>自动控制，能检测出球径≥2mm金属</w:t>
            </w:r>
          </w:p>
        </w:tc>
      </w:tr>
      <w:tr w14:paraId="6C61C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752" w:type="dxa"/>
            <w:gridSpan w:val="4"/>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4A967ED">
            <w:pPr>
              <w:spacing w:line="320" w:lineRule="exact"/>
              <w:ind w:left="40" w:leftChars="20" w:right="40" w:rightChars="20"/>
              <w:rPr>
                <w:rFonts w:hint="eastAsia" w:ascii="宋体" w:eastAsia="宋体"/>
                <w:sz w:val="21"/>
                <w:szCs w:val="21"/>
              </w:rPr>
            </w:pPr>
            <w:r>
              <w:rPr>
                <w:rFonts w:hint="eastAsia" w:ascii="宋体" w:eastAsia="宋体"/>
                <w:sz w:val="21"/>
                <w:szCs w:val="21"/>
              </w:rPr>
              <w:t>注：生产工艺关键控制环节为配料混合工序、成型、包装工序。</w:t>
            </w:r>
          </w:p>
        </w:tc>
      </w:tr>
    </w:tbl>
    <w:p w14:paraId="6059007E">
      <w:pPr>
        <w:spacing w:line="590" w:lineRule="exact"/>
        <w:ind w:firstLine="544" w:firstLineChars="200"/>
        <w:rPr>
          <w:rFonts w:ascii="黑体" w:eastAsia="黑体"/>
          <w:sz w:val="28"/>
          <w:szCs w:val="28"/>
        </w:rPr>
      </w:pPr>
      <w:bookmarkStart w:id="15" w:name="_Toc26740"/>
      <w:bookmarkEnd w:id="15"/>
      <w:bookmarkStart w:id="16" w:name="_Toc416939966"/>
      <w:bookmarkEnd w:id="16"/>
      <w:bookmarkStart w:id="17" w:name="_Toc415228681"/>
    </w:p>
    <w:p w14:paraId="3644B38D">
      <w:pPr>
        <w:spacing w:line="590" w:lineRule="exact"/>
        <w:ind w:firstLine="544" w:firstLineChars="200"/>
        <w:rPr>
          <w:rFonts w:hint="eastAsia" w:ascii="黑体" w:eastAsia="黑体"/>
          <w:sz w:val="28"/>
          <w:szCs w:val="28"/>
        </w:rPr>
      </w:pPr>
      <w:r>
        <w:rPr>
          <w:rFonts w:hint="eastAsia" w:ascii="黑体" w:eastAsia="黑体"/>
          <w:sz w:val="28"/>
          <w:szCs w:val="28"/>
        </w:rPr>
        <w:t>四、</w:t>
      </w:r>
      <w:bookmarkEnd w:id="17"/>
      <w:r>
        <w:rPr>
          <w:rFonts w:hint="eastAsia" w:ascii="黑体" w:eastAsia="黑体"/>
          <w:sz w:val="28"/>
          <w:szCs w:val="28"/>
        </w:rPr>
        <w:t>试制产品检验</w:t>
      </w:r>
    </w:p>
    <w:p w14:paraId="6D8D0568">
      <w:pPr>
        <w:spacing w:line="590" w:lineRule="exact"/>
        <w:ind w:firstLine="544" w:firstLineChars="200"/>
        <w:rPr>
          <w:rFonts w:hint="eastAsia"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shd w:val="clear" w:color="auto" w:fill="FFFFFF"/>
          <w:lang w:bidi="ar"/>
        </w:rPr>
        <w:t>企业所申报运动营养食品（耐力类：系列人参丸）的产品，提供试制食品的检验合格报告，检验项目应符合《食品安全国家标准运动营养食品通则》（GB 24154）标准以及企业标准、法律法规及相关部门公告规定。</w:t>
      </w:r>
    </w:p>
    <w:p w14:paraId="779CED7D">
      <w:pPr>
        <w:spacing w:line="590" w:lineRule="exact"/>
        <w:ind w:firstLine="544" w:firstLineChars="200"/>
        <w:rPr>
          <w:rFonts w:ascii="黑体" w:eastAsia="黑体"/>
          <w:sz w:val="28"/>
          <w:szCs w:val="28"/>
        </w:rPr>
      </w:pPr>
    </w:p>
    <w:p w14:paraId="530A79EE">
      <w:pPr>
        <w:spacing w:line="590" w:lineRule="exact"/>
        <w:ind w:firstLine="544" w:firstLineChars="200"/>
        <w:rPr>
          <w:rFonts w:hint="eastAsia" w:ascii="黑体" w:eastAsia="黑体"/>
          <w:sz w:val="28"/>
          <w:szCs w:val="28"/>
        </w:rPr>
      </w:pPr>
      <w:r>
        <w:rPr>
          <w:rFonts w:hint="eastAsia" w:ascii="黑体" w:eastAsia="黑体"/>
          <w:sz w:val="28"/>
          <w:szCs w:val="28"/>
        </w:rPr>
        <w:t>五、其他</w:t>
      </w:r>
    </w:p>
    <w:p w14:paraId="6F5D01E1">
      <w:pPr>
        <w:spacing w:line="590" w:lineRule="exact"/>
        <w:ind w:firstLine="544" w:firstLineChars="200"/>
        <w:rPr>
          <w:rFonts w:ascii="仿宋_GB2312" w:hAnsi="仿宋_GB2312" w:eastAsia="仿宋_GB2312" w:cs="仿宋_GB2312"/>
          <w:kern w:val="0"/>
          <w:sz w:val="28"/>
          <w:szCs w:val="28"/>
          <w:shd w:val="clear" w:color="auto" w:fill="FFFFFF"/>
          <w:lang w:bidi="ar"/>
        </w:rPr>
      </w:pPr>
      <w:r>
        <w:rPr>
          <w:rFonts w:hint="eastAsia" w:ascii="仿宋_GB2312" w:hAnsi="仿宋_GB2312" w:eastAsia="仿宋_GB2312" w:cs="仿宋_GB2312"/>
          <w:kern w:val="0"/>
          <w:sz w:val="28"/>
          <w:szCs w:val="28"/>
          <w:lang w:bidi="ar"/>
        </w:rPr>
        <mc:AlternateContent>
          <mc:Choice Requires="wps">
            <w:drawing>
              <wp:anchor distT="45720" distB="45720" distL="114300" distR="114300" simplePos="0" relativeHeight="251666432" behindDoc="0" locked="0" layoutInCell="1" allowOverlap="1">
                <wp:simplePos x="0" y="0"/>
                <wp:positionH relativeFrom="column">
                  <wp:posOffset>5526405</wp:posOffset>
                </wp:positionH>
                <wp:positionV relativeFrom="paragraph">
                  <wp:posOffset>1861820</wp:posOffset>
                </wp:positionV>
                <wp:extent cx="443230" cy="467360"/>
                <wp:effectExtent l="0" t="0" r="13970" b="8890"/>
                <wp:wrapSquare wrapText="bothSides"/>
                <wp:docPr id="7" name="文本框 7"/>
                <wp:cNvGraphicFramePr/>
                <a:graphic xmlns:a="http://schemas.openxmlformats.org/drawingml/2006/main">
                  <a:graphicData uri="http://schemas.microsoft.com/office/word/2010/wordprocessingShape">
                    <wps:wsp>
                      <wps:cNvSpPr txBox="1"/>
                      <wps:spPr>
                        <a:xfrm>
                          <a:off x="0" y="0"/>
                          <a:ext cx="443230" cy="467360"/>
                        </a:xfrm>
                        <a:prstGeom prst="rect">
                          <a:avLst/>
                        </a:prstGeom>
                        <a:solidFill>
                          <a:srgbClr val="FFFFFF"/>
                        </a:solidFill>
                        <a:ln>
                          <a:noFill/>
                        </a:ln>
                      </wps:spPr>
                      <wps:txbx>
                        <w:txbxContent>
                          <w:p w14:paraId="711D9D82">
                            <w:pPr>
                              <w:rPr>
                                <w:rFonts w:hint="eastAsia"/>
                                <w:sz w:val="18"/>
                                <w:szCs w:val="18"/>
                              </w:rPr>
                            </w:pPr>
                            <w:r>
                              <w:rPr>
                                <w:rFonts w:hint="eastAsia"/>
                                <w:sz w:val="18"/>
                                <w:szCs w:val="18"/>
                              </w:rPr>
                              <w:t>8</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35.15pt;margin-top:146.6pt;height:36.8pt;width:34.9pt;mso-wrap-distance-bottom:3.6pt;mso-wrap-distance-left:9pt;mso-wrap-distance-right:9pt;mso-wrap-distance-top:3.6pt;z-index:251666432;mso-width-relative:page;mso-height-relative:margin;mso-height-percent:200;" fillcolor="#FFFFFF" filled="t" stroked="f" coordsize="21600,21600" o:gfxdata="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90I/DaAAAACwEAAA8AAAAAAAAAAQAgAAAAIgAA&#10;AGRycy9kb3ducmV2LnhtbFBLAQIUABQAAAAIAIdO4kCmxhcuzQEAAJADAAAOAAAAAAAAAAEAIAAA&#10;ACkBAABkcnMvZTJvRG9jLnhtbFBLBQYAAAAABgAGAFkBAABoBQAAAAA=&#10;">
                <v:fill on="t" focussize="0,0"/>
                <v:stroke on="f"/>
                <v:imagedata o:title=""/>
                <o:lock v:ext="edit" aspectratio="f"/>
                <v:textbox style="mso-fit-shape-to-text:t;">
                  <w:txbxContent>
                    <w:p w14:paraId="711D9D82">
                      <w:pPr>
                        <w:rPr>
                          <w:rFonts w:hint="eastAsia"/>
                          <w:sz w:val="18"/>
                          <w:szCs w:val="18"/>
                        </w:rPr>
                      </w:pPr>
                      <w:r>
                        <w:rPr>
                          <w:rFonts w:hint="eastAsia"/>
                          <w:sz w:val="18"/>
                          <w:szCs w:val="18"/>
                        </w:rPr>
                        <w:t>8</w:t>
                      </w:r>
                    </w:p>
                  </w:txbxContent>
                </v:textbox>
                <w10:wrap type="square"/>
              </v:shape>
            </w:pict>
          </mc:Fallback>
        </mc:AlternateContent>
      </w:r>
      <w:r>
        <w:rPr>
          <w:rFonts w:hint="eastAsia" w:ascii="仿宋_GB2312" w:hAnsi="仿宋_GB2312" w:eastAsia="仿宋_GB2312" w:cs="仿宋_GB2312"/>
          <w:kern w:val="0"/>
          <w:sz w:val="28"/>
          <w:szCs w:val="28"/>
          <w:shd w:val="clear" w:color="auto" w:fill="FFFFFF"/>
          <w:lang w:bidi="ar"/>
        </w:rPr>
        <w:t>（一）运动营养食品（耐力类：系列人参丸）的标签应符合《食品安全国家标准 预包装特殊膳食用食品标签》（GB 13432）《食品安全国家标准 预包装食品营养标签通则》（GB 28050)《食品安全国家标准 预包装食品标签通则》（GB 7718）《食品安全国家标准 运动营养食品通则》的规定。运动营养食品的标签不能对产品做任何功能声称。</w:t>
      </w:r>
    </w:p>
    <w:p w14:paraId="1F6D0FB0">
      <w:pPr>
        <w:spacing w:line="590" w:lineRule="exact"/>
        <w:ind w:firstLine="544" w:firstLineChars="200"/>
        <w:rPr>
          <w:rFonts w:hint="eastAsia" w:ascii="仿宋" w:hAnsi="仿宋" w:cs="仿宋"/>
          <w:sz w:val="27"/>
          <w:szCs w:val="27"/>
        </w:rPr>
      </w:pPr>
      <w:r>
        <w:rPr>
          <w:rFonts w:hint="eastAsia" w:ascii="仿宋_GB2312" w:hAnsi="仿宋_GB2312" w:eastAsia="仿宋_GB2312" w:cs="仿宋_GB2312"/>
          <w:kern w:val="0"/>
          <w:sz w:val="28"/>
          <w:szCs w:val="28"/>
          <w:shd w:val="clear" w:color="auto" w:fill="FFFFFF"/>
          <w:lang w:bidi="ar"/>
        </w:rPr>
        <w:t>（二）</w:t>
      </w:r>
      <w:r>
        <w:rPr>
          <w:rFonts w:hint="eastAsia" w:ascii="仿宋" w:hAnsi="仿宋" w:cs="仿宋"/>
          <w:sz w:val="27"/>
          <w:szCs w:val="27"/>
        </w:rPr>
        <w:t>本方案自公示结束之日起实施。</w:t>
      </w:r>
    </w:p>
    <w:p w14:paraId="498742BD">
      <w:pPr>
        <w:spacing w:line="590" w:lineRule="exact"/>
        <w:ind w:firstLine="524" w:firstLineChars="200"/>
        <w:rPr>
          <w:rFonts w:ascii="仿宋" w:hAnsi="仿宋" w:cs="仿宋"/>
          <w:sz w:val="27"/>
          <w:szCs w:val="27"/>
        </w:rPr>
      </w:pPr>
      <w:r>
        <w:rPr>
          <w:rFonts w:hint="eastAsia" w:ascii="仿宋" w:hAnsi="仿宋" w:cs="仿宋"/>
          <w:sz w:val="27"/>
          <w:szCs w:val="27"/>
        </w:rPr>
        <w:t xml:space="preserve">                                </w:t>
      </w:r>
    </w:p>
    <w:p w14:paraId="4F2C3153">
      <w:pPr>
        <w:spacing w:line="590" w:lineRule="exact"/>
        <w:ind w:firstLine="524" w:firstLineChars="200"/>
        <w:rPr>
          <w:rFonts w:ascii="仿宋" w:hAnsi="仿宋" w:cs="仿宋"/>
          <w:sz w:val="27"/>
          <w:szCs w:val="27"/>
        </w:rPr>
      </w:pPr>
    </w:p>
    <w:p w14:paraId="5883350E">
      <w:pPr>
        <w:spacing w:line="590" w:lineRule="exact"/>
        <w:ind w:firstLine="5502" w:firstLineChars="2100"/>
        <w:rPr>
          <w:rFonts w:hint="eastAsia" w:ascii="仿宋" w:hAnsi="仿宋" w:cs="仿宋"/>
          <w:sz w:val="27"/>
          <w:szCs w:val="27"/>
        </w:rPr>
      </w:pPr>
      <w:r>
        <w:rPr>
          <w:rFonts w:hint="eastAsia" w:ascii="仿宋" w:hAnsi="仿宋" w:cs="仿宋"/>
          <w:sz w:val="27"/>
          <w:szCs w:val="27"/>
        </w:rPr>
        <mc:AlternateContent>
          <mc:Choice Requires="wps">
            <w:drawing>
              <wp:anchor distT="45720" distB="45720" distL="114300" distR="114300" simplePos="0" relativeHeight="251667456" behindDoc="0" locked="0" layoutInCell="1" allowOverlap="1">
                <wp:simplePos x="0" y="0"/>
                <wp:positionH relativeFrom="column">
                  <wp:posOffset>5542280</wp:posOffset>
                </wp:positionH>
                <wp:positionV relativeFrom="paragraph">
                  <wp:posOffset>6770370</wp:posOffset>
                </wp:positionV>
                <wp:extent cx="443230" cy="467360"/>
                <wp:effectExtent l="0" t="0" r="13970" b="8890"/>
                <wp:wrapSquare wrapText="bothSides"/>
                <wp:docPr id="8" name="文本框 8"/>
                <wp:cNvGraphicFramePr/>
                <a:graphic xmlns:a="http://schemas.openxmlformats.org/drawingml/2006/main">
                  <a:graphicData uri="http://schemas.microsoft.com/office/word/2010/wordprocessingShape">
                    <wps:wsp>
                      <wps:cNvSpPr txBox="1"/>
                      <wps:spPr>
                        <a:xfrm>
                          <a:off x="0" y="0"/>
                          <a:ext cx="443230" cy="467360"/>
                        </a:xfrm>
                        <a:prstGeom prst="rect">
                          <a:avLst/>
                        </a:prstGeom>
                        <a:solidFill>
                          <a:srgbClr val="FFFFFF"/>
                        </a:solidFill>
                        <a:ln>
                          <a:noFill/>
                        </a:ln>
                      </wps:spPr>
                      <wps:txbx>
                        <w:txbxContent>
                          <w:p w14:paraId="2943FC92">
                            <w:pPr>
                              <w:rPr>
                                <w:rFonts w:hint="eastAsia"/>
                                <w:sz w:val="18"/>
                                <w:szCs w:val="18"/>
                              </w:rPr>
                            </w:pPr>
                            <w:r>
                              <w:rPr>
                                <w:rFonts w:hint="eastAsia"/>
                                <w:sz w:val="18"/>
                                <w:szCs w:val="18"/>
                              </w:rPr>
                              <w:t>9</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36.4pt;margin-top:533.1pt;height:36.8pt;width:34.9pt;mso-wrap-distance-bottom:3.6pt;mso-wrap-distance-left:9pt;mso-wrap-distance-right:9pt;mso-wrap-distance-top:3.6pt;z-index:251667456;mso-width-relative:page;mso-height-relative:margin;mso-height-percent:200;" fillcolor="#FFFFFF" filled="t" stroked="f" coordsize="21600,21600" o:gfxdata="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iUynjaAAAADQEAAA8AAAAAAAAAAQAgAAAAIgAA&#10;AGRycy9kb3ducmV2LnhtbFBLAQIUABQAAAAIAIdO4kA441JMzQEAAJADAAAOAAAAAAAAAAEAIAAA&#10;ACkBAABkcnMvZTJvRG9jLnhtbFBLBQYAAAAABgAGAFkBAABoBQAAAAA=&#10;">
                <v:fill on="t" focussize="0,0"/>
                <v:stroke on="f"/>
                <v:imagedata o:title=""/>
                <o:lock v:ext="edit" aspectratio="f"/>
                <v:textbox style="mso-fit-shape-to-text:t;">
                  <w:txbxContent>
                    <w:p w14:paraId="2943FC92">
                      <w:pPr>
                        <w:rPr>
                          <w:rFonts w:hint="eastAsia"/>
                          <w:sz w:val="18"/>
                          <w:szCs w:val="18"/>
                        </w:rPr>
                      </w:pPr>
                      <w:r>
                        <w:rPr>
                          <w:rFonts w:hint="eastAsia"/>
                          <w:sz w:val="18"/>
                          <w:szCs w:val="18"/>
                        </w:rPr>
                        <w:t>9</w:t>
                      </w:r>
                    </w:p>
                  </w:txbxContent>
                </v:textbox>
                <w10:wrap type="square"/>
              </v:shape>
            </w:pict>
          </mc:Fallback>
        </mc:AlternateContent>
      </w:r>
      <w:r>
        <w:rPr>
          <w:rFonts w:hint="eastAsia" w:ascii="仿宋" w:hAnsi="仿宋" w:cs="仿宋"/>
          <w:sz w:val="27"/>
          <w:szCs w:val="27"/>
        </w:rPr>
        <w:t xml:space="preserve"> 2026年 09 月 21 日                               </w:t>
      </w:r>
    </w:p>
    <w:p w14:paraId="18C31FD5">
      <w:pPr>
        <w:rPr>
          <w:rFonts w:hint="eastAsia" w:ascii="仿宋" w:hAnsi="仿宋" w:eastAsia="仿宋" w:cs="仿宋"/>
          <w:sz w:val="28"/>
          <w:szCs w:val="28"/>
        </w:rPr>
      </w:pPr>
    </w:p>
    <w:sectPr>
      <w:pgSz w:w="11906" w:h="16838"/>
      <w:pgMar w:top="2098" w:right="1588" w:bottom="1701" w:left="1588" w:header="851" w:footer="1418" w:gutter="0"/>
      <w:cols w:space="720" w:num="1"/>
      <w:docGrid w:type="linesAndChars" w:linePitch="592"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0ZGIyZTViMmVjMzNjMGM0ZmI0ZGYyOWQ1OWExMTQifQ=="/>
  </w:docVars>
  <w:rsids>
    <w:rsidRoot w:val="20AC5114"/>
    <w:rsid w:val="01D20023"/>
    <w:rsid w:val="02184727"/>
    <w:rsid w:val="046E2B3F"/>
    <w:rsid w:val="04811A1F"/>
    <w:rsid w:val="076F2BF6"/>
    <w:rsid w:val="09C848E5"/>
    <w:rsid w:val="0BB14002"/>
    <w:rsid w:val="0F305AAE"/>
    <w:rsid w:val="117D5482"/>
    <w:rsid w:val="144346E4"/>
    <w:rsid w:val="169D5673"/>
    <w:rsid w:val="184D7226"/>
    <w:rsid w:val="1983247D"/>
    <w:rsid w:val="1C076CAD"/>
    <w:rsid w:val="1E3845A0"/>
    <w:rsid w:val="1E761259"/>
    <w:rsid w:val="20AC5114"/>
    <w:rsid w:val="269F164C"/>
    <w:rsid w:val="28091D22"/>
    <w:rsid w:val="29595D53"/>
    <w:rsid w:val="2A07392E"/>
    <w:rsid w:val="2B4D762D"/>
    <w:rsid w:val="2D281AB5"/>
    <w:rsid w:val="2DC24F05"/>
    <w:rsid w:val="31703659"/>
    <w:rsid w:val="39077F7D"/>
    <w:rsid w:val="39790CDB"/>
    <w:rsid w:val="39B427DC"/>
    <w:rsid w:val="3BD47EDE"/>
    <w:rsid w:val="3DE965A5"/>
    <w:rsid w:val="40EB2F11"/>
    <w:rsid w:val="42C176C9"/>
    <w:rsid w:val="43001D29"/>
    <w:rsid w:val="433C5350"/>
    <w:rsid w:val="43B7290F"/>
    <w:rsid w:val="43BF0FED"/>
    <w:rsid w:val="442064B0"/>
    <w:rsid w:val="44E963D1"/>
    <w:rsid w:val="45DA056A"/>
    <w:rsid w:val="4A527E04"/>
    <w:rsid w:val="4D8F65AA"/>
    <w:rsid w:val="50437551"/>
    <w:rsid w:val="50A14E69"/>
    <w:rsid w:val="5891595B"/>
    <w:rsid w:val="5A52652F"/>
    <w:rsid w:val="5B5C485E"/>
    <w:rsid w:val="5B9A7BAC"/>
    <w:rsid w:val="5CE02F1A"/>
    <w:rsid w:val="5D164338"/>
    <w:rsid w:val="6392641C"/>
    <w:rsid w:val="63EE6C52"/>
    <w:rsid w:val="681340F0"/>
    <w:rsid w:val="6820674B"/>
    <w:rsid w:val="69395BA3"/>
    <w:rsid w:val="69834BFE"/>
    <w:rsid w:val="73917760"/>
    <w:rsid w:val="79FB133F"/>
    <w:rsid w:val="7B027FE0"/>
    <w:rsid w:val="7C8F68E3"/>
    <w:rsid w:val="7F625F8B"/>
    <w:rsid w:val="7FFF93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4839</Words>
  <Characters>5048</Characters>
  <Lines>0</Lines>
  <Paragraphs>0</Paragraphs>
  <TotalTime>2</TotalTime>
  <ScaleCrop>false</ScaleCrop>
  <LinksUpToDate>false</LinksUpToDate>
  <CharactersWithSpaces>5266</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2019-10-10T13:36:00Z</dcterms:created>
  <dc:creator>Administrator</dc:creator>
  <cp:lastModifiedBy>user</cp:lastModifiedBy>
  <cp:lastPrinted>2026-04-02T14:04:00Z</cp:lastPrinted>
  <dcterms:modified xsi:type="dcterms:W3CDTF">2026-09-22T10:54:46Z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236FE76B6E8A5532F6EDB16ABD35FE05_43</vt:lpwstr>
  </property>
  <property fmtid="{D5CDD505-2E9C-101B-9397-08002B2CF9AE}" pid="4" name="KSOTemplateDocerSaveRecord">
    <vt:lpwstr>eyJoZGlkIjoiZTExYWRlMDIxMTIyNTg1OWQ4MmJkOTZlZTE3MWI4ZGUiLCJ1c2VySWQiOiIyODUwMDkzMTYifQ==</vt:lpwstr>
  </property>
</Properties>
</file>