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关于201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9</w:t>
      </w:r>
      <w:r>
        <w:rPr>
          <w:rFonts w:hint="eastAsia" w:asciiTheme="majorEastAsia" w:hAnsiTheme="majorEastAsia" w:eastAsiaTheme="majorEastAsia"/>
          <w:sz w:val="44"/>
          <w:szCs w:val="44"/>
        </w:rPr>
        <w:t>年度</w:t>
      </w:r>
      <w:r>
        <w:rPr>
          <w:rFonts w:hint="eastAsia" w:asciiTheme="majorEastAsia" w:hAnsiTheme="majorEastAsia" w:eastAsiaTheme="majorEastAsia"/>
          <w:sz w:val="44"/>
          <w:szCs w:val="44"/>
          <w:lang w:eastAsia="zh-CN"/>
        </w:rPr>
        <w:t>桓仁县</w:t>
      </w:r>
      <w:r>
        <w:rPr>
          <w:rFonts w:hint="eastAsia" w:asciiTheme="majorEastAsia" w:hAnsiTheme="majorEastAsia" w:eastAsiaTheme="majorEastAsia"/>
          <w:sz w:val="44"/>
          <w:szCs w:val="44"/>
        </w:rPr>
        <w:t>国有资本经营</w:t>
      </w:r>
    </w:p>
    <w:p>
      <w:pPr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收支决算的说明</w:t>
      </w: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国有资本经营预算收入完成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15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万元，其中：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利润收入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15万元，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 </w:t>
      </w:r>
      <w:r>
        <w:rPr>
          <w:rFonts w:ascii="仿宋" w:hAnsi="仿宋" w:eastAsia="仿宋" w:cs="Times New Roman"/>
          <w:color w:val="000000"/>
          <w:sz w:val="32"/>
          <w:szCs w:val="32"/>
        </w:rPr>
        <w:t>清算收入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0</w:t>
      </w:r>
      <w:r>
        <w:rPr>
          <w:rFonts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；上级补助收入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7,952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万元；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上年结余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74万元；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收入总计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8,041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万元。</w:t>
      </w:r>
    </w:p>
    <w:p>
      <w:pPr>
        <w:ind w:firstLine="640" w:firstLineChars="200"/>
        <w:rPr>
          <w:rFonts w:hint="eastAsia"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全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eastAsia="zh-CN"/>
        </w:rPr>
        <w:t>县</w:t>
      </w:r>
      <w:r>
        <w:rPr>
          <w:rFonts w:ascii="仿宋" w:hAnsi="仿宋" w:eastAsia="仿宋" w:cs="Times New Roman"/>
          <w:color w:val="000000"/>
          <w:sz w:val="32"/>
          <w:szCs w:val="32"/>
        </w:rPr>
        <w:t>国有资本经营预算支出完成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7,952</w:t>
      </w:r>
      <w:r>
        <w:rPr>
          <w:rFonts w:ascii="仿宋" w:hAnsi="仿宋" w:eastAsia="仿宋" w:cs="Times New Roman"/>
          <w:color w:val="000000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调出资金</w:t>
      </w:r>
      <w:r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  <w:t>89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</w:rPr>
        <w:t>，支出总计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8,041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ascii="仿宋" w:hAnsi="仿宋" w:eastAsia="仿宋" w:cs="Times New Roman"/>
          <w:sz w:val="32"/>
          <w:szCs w:val="32"/>
        </w:rPr>
        <w:t>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4466"/>
    <w:rsid w:val="001D30C6"/>
    <w:rsid w:val="001D4466"/>
    <w:rsid w:val="00266128"/>
    <w:rsid w:val="003D3F64"/>
    <w:rsid w:val="00594DC9"/>
    <w:rsid w:val="005D0507"/>
    <w:rsid w:val="00776CA5"/>
    <w:rsid w:val="00A95DF7"/>
    <w:rsid w:val="00C85507"/>
    <w:rsid w:val="00D62E2B"/>
    <w:rsid w:val="1C486043"/>
    <w:rsid w:val="39CC6873"/>
    <w:rsid w:val="64254E7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Char1"/>
    <w:basedOn w:val="1"/>
    <w:qFormat/>
    <w:uiPriority w:val="0"/>
    <w:rPr>
      <w:rFonts w:ascii="Times New Roman" w:hAnsi="Times New Roman" w:eastAsia="宋体" w:cs="Times New Roman"/>
      <w:sz w:val="32"/>
      <w:szCs w:val="32"/>
    </w:rPr>
  </w:style>
  <w:style w:type="character" w:customStyle="1" w:styleId="7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Office_10.1.0.5399_F1E327BC-269C-435d-A152-05C5408002CA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2018-08-09T06:21:00Z</dcterms:created>
  <dc:creator>admin</dc:creator>
  <cp:lastModifiedBy>Administrator</cp:lastModifiedBy>
  <dcterms:modified xsi:type="dcterms:W3CDTF">2020-08-14T01:56:50Z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2052-10.1.0.5399</vt:lpwstr>
  </property>
</Properties>
</file>