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500C44">
      <w:pPr>
        <w:keepNext w:val="0"/>
        <w:keepLines w:val="0"/>
        <w:pageBreakBefore w:val="0"/>
        <w:widowControl w:val="0"/>
        <w:kinsoku/>
        <w:wordWrap/>
        <w:overflowPunct/>
        <w:topLinePunct w:val="0"/>
        <w:autoSpaceDE/>
        <w:autoSpaceDN/>
        <w:bidi w:val="0"/>
        <w:adjustRightInd/>
        <w:snapToGrid/>
        <w:spacing w:line="600" w:lineRule="exact"/>
        <w:ind w:left="0" w:leftChars="0" w:firstLine="0" w:firstLineChars="0"/>
        <w:jc w:val="center"/>
        <w:textAlignment w:val="auto"/>
        <w:rPr>
          <w:b/>
        </w:rPr>
      </w:pPr>
      <w:r>
        <w:rPr>
          <w:rFonts w:hint="eastAsia"/>
          <w:b/>
        </w:rPr>
        <w:t>《桓仁满族自治县</w:t>
      </w:r>
      <w:r>
        <w:rPr>
          <w:rFonts w:hint="eastAsia"/>
          <w:b/>
          <w:lang w:val="en-US" w:eastAsia="zh-CN"/>
        </w:rPr>
        <w:t>天后</w:t>
      </w:r>
      <w:r>
        <w:rPr>
          <w:rFonts w:hint="eastAsia"/>
          <w:b/>
        </w:rPr>
        <w:t>历史文化</w:t>
      </w:r>
      <w:r>
        <w:rPr>
          <w:rFonts w:hint="eastAsia"/>
          <w:b/>
          <w:lang w:val="en-US" w:eastAsia="zh-CN"/>
        </w:rPr>
        <w:t>街区</w:t>
      </w:r>
      <w:r>
        <w:rPr>
          <w:rFonts w:hint="eastAsia"/>
          <w:b/>
        </w:rPr>
        <w:t>保护规划（2</w:t>
      </w:r>
      <w:r>
        <w:rPr>
          <w:b/>
        </w:rPr>
        <w:t>023-2035</w:t>
      </w:r>
      <w:r>
        <w:rPr>
          <w:rFonts w:hint="eastAsia"/>
          <w:b/>
        </w:rPr>
        <w:t>年）》</w:t>
      </w:r>
    </w:p>
    <w:p w14:paraId="6B9A064C">
      <w:pPr>
        <w:ind w:firstLine="0" w:firstLineChars="0"/>
        <w:jc w:val="center"/>
        <w:rPr>
          <w:b/>
        </w:rPr>
      </w:pPr>
      <w:r>
        <w:rPr>
          <w:rFonts w:hint="eastAsia"/>
          <w:b/>
        </w:rPr>
        <w:t>公示版</w:t>
      </w:r>
    </w:p>
    <w:p w14:paraId="1D5D1801">
      <w:pPr>
        <w:pStyle w:val="3"/>
      </w:pPr>
      <w:r>
        <w:t>一、总则</w:t>
      </w:r>
    </w:p>
    <w:p w14:paraId="56936B95">
      <w:pPr>
        <w:pStyle w:val="4"/>
      </w:pPr>
      <w:r>
        <w:rPr>
          <w:rFonts w:hint="eastAsia"/>
        </w:rPr>
        <w:t>1、规划目的</w:t>
      </w:r>
    </w:p>
    <w:p w14:paraId="67B083B5">
      <w:r>
        <w:rPr>
          <w:rFonts w:hint="eastAsia"/>
        </w:rPr>
        <w:t>为加强桓仁满族自治县（以下简称“桓仁县”）历史文化</w:t>
      </w:r>
      <w:r>
        <w:rPr>
          <w:rFonts w:hint="eastAsia"/>
          <w:lang w:val="en-US" w:eastAsia="zh-CN"/>
        </w:rPr>
        <w:t>街区</w:t>
      </w:r>
      <w:r>
        <w:rPr>
          <w:rFonts w:hint="eastAsia"/>
        </w:rPr>
        <w:t>的保护，落实和深化国家、辽宁省对历史文化</w:t>
      </w:r>
      <w:r>
        <w:rPr>
          <w:rFonts w:hint="eastAsia"/>
          <w:lang w:val="en-US" w:eastAsia="zh-CN"/>
        </w:rPr>
        <w:t>街区</w:t>
      </w:r>
      <w:r>
        <w:rPr>
          <w:rFonts w:hint="eastAsia"/>
        </w:rPr>
        <w:t>保护的要求，处理好桓仁县历史文化</w:t>
      </w:r>
      <w:r>
        <w:rPr>
          <w:rFonts w:hint="eastAsia"/>
          <w:lang w:val="en-US" w:eastAsia="zh-CN"/>
        </w:rPr>
        <w:t>街区</w:t>
      </w:r>
      <w:r>
        <w:rPr>
          <w:rFonts w:hint="eastAsia"/>
        </w:rPr>
        <w:t>保护与城市社会经济发展的关系，特制定本规划</w:t>
      </w:r>
      <w:r>
        <w:t>。</w:t>
      </w:r>
      <w:bookmarkStart w:id="11" w:name="_GoBack"/>
      <w:bookmarkEnd w:id="11"/>
    </w:p>
    <w:p w14:paraId="2F08723E">
      <w:pPr>
        <w:pStyle w:val="4"/>
      </w:pPr>
      <w:r>
        <w:rPr>
          <w:rFonts w:hint="eastAsia"/>
        </w:rPr>
        <w:t>2、规划范围</w:t>
      </w:r>
    </w:p>
    <w:p w14:paraId="1E9C3ABC">
      <w:r>
        <w:rPr>
          <w:rFonts w:hint="eastAsia"/>
        </w:rPr>
        <w:t>天后历史文化街区位于县城长江大街、南关路与天后街的交汇处。南至南关路，东起天后街、西至长江大街。保护范围面积为1.45公顷。</w:t>
      </w:r>
    </w:p>
    <w:p w14:paraId="5E8865DC">
      <w:pPr>
        <w:pStyle w:val="4"/>
      </w:pPr>
      <w:r>
        <w:rPr>
          <w:rFonts w:hint="eastAsia"/>
        </w:rPr>
        <w:t>3、规划期限</w:t>
      </w:r>
    </w:p>
    <w:p w14:paraId="723AB712">
      <w:r>
        <w:rPr>
          <w:rFonts w:hint="eastAsia"/>
        </w:rPr>
        <w:t>本次规划的规划期限为</w:t>
      </w:r>
      <w:r>
        <w:t>2023-2035年，其中，近期至2025年，远期至2035年。</w:t>
      </w:r>
    </w:p>
    <w:p w14:paraId="7B80BE00">
      <w:pPr>
        <w:pStyle w:val="3"/>
      </w:pPr>
      <w:r>
        <w:rPr>
          <w:rFonts w:hint="eastAsia"/>
        </w:rPr>
        <w:t>二、历史文化价值特色</w:t>
      </w:r>
    </w:p>
    <w:p w14:paraId="5CB4A87B">
      <w:pPr>
        <w:pStyle w:val="4"/>
        <w:rPr>
          <w:rFonts w:hint="eastAsia"/>
        </w:rPr>
      </w:pPr>
      <w:r>
        <w:rPr>
          <w:rFonts w:hint="eastAsia"/>
        </w:rPr>
        <w:t>1、价值一：河运文化——浑江航运历史的溯源。</w:t>
      </w:r>
    </w:p>
    <w:p w14:paraId="16F2E6DC">
      <w:pPr>
        <w:pStyle w:val="4"/>
        <w:rPr>
          <w:rFonts w:hint="eastAsia"/>
        </w:rPr>
      </w:pPr>
      <w:r>
        <w:rPr>
          <w:rFonts w:hint="eastAsia"/>
        </w:rPr>
        <w:t>2、价值二：抗联文化——东北著名将领唐聚伍事迹的体现。</w:t>
      </w:r>
    </w:p>
    <w:p w14:paraId="7B6D2135">
      <w:pPr>
        <w:pStyle w:val="4"/>
        <w:rPr>
          <w:rFonts w:hint="eastAsia"/>
        </w:rPr>
      </w:pPr>
      <w:r>
        <w:rPr>
          <w:rFonts w:hint="eastAsia"/>
        </w:rPr>
        <w:t>3、价值三：建筑文化——中国最北部的妈祖神庙。</w:t>
      </w:r>
    </w:p>
    <w:p w14:paraId="36CE278B">
      <w:pPr>
        <w:pStyle w:val="3"/>
        <w:rPr>
          <w:rFonts w:hint="eastAsia"/>
          <w:lang w:val="en-US" w:eastAsia="zh-CN"/>
        </w:rPr>
      </w:pPr>
      <w:bookmarkStart w:id="0" w:name="OLE_LINK1"/>
      <w:r>
        <w:rPr>
          <w:rFonts w:hint="eastAsia"/>
        </w:rPr>
        <w:t>三、</w:t>
      </w:r>
      <w:r>
        <w:rPr>
          <w:rFonts w:hint="eastAsia"/>
          <w:lang w:val="en-US" w:eastAsia="zh-CN"/>
        </w:rPr>
        <w:t>街区保护规划</w:t>
      </w:r>
    </w:p>
    <w:bookmarkEnd w:id="0"/>
    <w:p w14:paraId="6C3CB1B7">
      <w:pPr>
        <w:pStyle w:val="4"/>
        <w:rPr>
          <w:rFonts w:hint="eastAsia" w:ascii="宋体" w:hAnsi="宋体" w:eastAsia="宋体" w:cstheme="minorBidi"/>
          <w:b/>
          <w:kern w:val="2"/>
          <w:sz w:val="28"/>
          <w:szCs w:val="22"/>
          <w:lang w:val="en-US" w:eastAsia="zh-CN" w:bidi="ar-SA"/>
        </w:rPr>
      </w:pPr>
      <w:r>
        <w:rPr>
          <w:rFonts w:hint="eastAsia" w:ascii="宋体" w:hAnsi="宋体" w:eastAsia="宋体" w:cstheme="minorBidi"/>
          <w:b/>
          <w:kern w:val="2"/>
          <w:sz w:val="28"/>
          <w:szCs w:val="22"/>
          <w:lang w:val="en-US" w:eastAsia="zh-CN" w:bidi="ar-SA"/>
        </w:rPr>
        <w:t>1、</w:t>
      </w:r>
      <w:r>
        <w:rPr>
          <w:rFonts w:hint="eastAsia"/>
          <w:lang w:val="en-US" w:eastAsia="zh-CN"/>
        </w:rPr>
        <w:t>核心</w:t>
      </w:r>
      <w:r>
        <w:rPr>
          <w:rFonts w:hint="eastAsia" w:ascii="宋体" w:hAnsi="宋体" w:eastAsia="宋体" w:cstheme="minorBidi"/>
          <w:b/>
          <w:kern w:val="2"/>
          <w:sz w:val="28"/>
          <w:szCs w:val="22"/>
          <w:lang w:val="en-US" w:eastAsia="zh-CN" w:bidi="ar-SA"/>
        </w:rPr>
        <w:t>保护范围：</w:t>
      </w:r>
    </w:p>
    <w:p w14:paraId="7024AF9E">
      <w:pPr>
        <w:rPr>
          <w:rFonts w:hint="eastAsia"/>
          <w:lang w:val="en-US" w:eastAsia="zh-CN"/>
        </w:rPr>
      </w:pPr>
      <w:r>
        <w:rPr>
          <w:rFonts w:hint="eastAsia"/>
          <w:lang w:val="en-US" w:eastAsia="zh-CN"/>
        </w:rPr>
        <w:t>以文物保护单位天后宫为依托，划定核心保护范围。确定天后历史文化街区的核心地段范围为“天后宫院墙”围合的地块，面积为0.48公顷。核心保护范围包含天后宫等相对保护完整的建筑。</w:t>
      </w:r>
    </w:p>
    <w:p w14:paraId="606B4752">
      <w:pPr>
        <w:keepNext w:val="0"/>
        <w:keepLines w:val="0"/>
        <w:widowControl w:val="0"/>
        <w:suppressLineNumbers w:val="0"/>
        <w:spacing w:before="0" w:beforeAutospacing="0" w:after="0" w:afterAutospacing="0" w:line="560" w:lineRule="exact"/>
        <w:ind w:left="0" w:right="0" w:firstLine="562" w:firstLineChars="200"/>
        <w:jc w:val="both"/>
        <w:rPr>
          <w:sz w:val="28"/>
          <w:szCs w:val="22"/>
          <w:lang w:val="en-US"/>
        </w:rPr>
      </w:pPr>
      <w:r>
        <w:rPr>
          <w:rFonts w:hint="eastAsia" w:ascii="宋体" w:hAnsi="宋体" w:eastAsia="宋体" w:cstheme="minorBidi"/>
          <w:b/>
          <w:kern w:val="2"/>
          <w:sz w:val="28"/>
          <w:szCs w:val="22"/>
          <w:lang w:val="en-US" w:eastAsia="zh-CN" w:bidi="ar-SA"/>
        </w:rPr>
        <w:t>管控要求：</w:t>
      </w:r>
      <w:r>
        <w:rPr>
          <w:rFonts w:hint="eastAsia" w:ascii="宋体" w:hAnsi="Calibri" w:eastAsia="宋体" w:cs="Times New Roman"/>
          <w:kern w:val="2"/>
          <w:sz w:val="28"/>
          <w:szCs w:val="22"/>
          <w:lang w:val="en-US" w:eastAsia="zh-CN" w:bidi="ar"/>
        </w:rPr>
        <w:t>按照《辽宁省历史文化名城名镇名村及历史文化街区保护管理暂行办法》（辽政办发〔2017〕49号），在省级历史文化街区保护范围内禁止下列活动 ：</w:t>
      </w:r>
    </w:p>
    <w:p w14:paraId="2264A92B">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（1）开山、采石、开矿等破坏传统格局和历史风貌的活动；</w:t>
      </w:r>
    </w:p>
    <w:p w14:paraId="1C97393B">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（2）占用保护规划确定保留的园林绿地、河湖水系、道路等；</w:t>
      </w:r>
    </w:p>
    <w:p w14:paraId="11D454CF">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（3）修建生产、储存爆炸性、易燃性、放射性、毒害性、腐蚀性物品的工厂、仓库等；</w:t>
      </w:r>
    </w:p>
    <w:p w14:paraId="4D7122D7">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（4）修建损害传统风貌的建筑物、构筑物和其他设施；</w:t>
      </w:r>
    </w:p>
    <w:p w14:paraId="1FCA46A7">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（5）损毁保护规划确定保护的建筑物、构筑物及其他设施；</w:t>
      </w:r>
    </w:p>
    <w:p w14:paraId="161EB130">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（6）对保护规划确定保护的建筑物、构筑物进行改变原风貌的维修或者装饰；</w:t>
      </w:r>
    </w:p>
    <w:p w14:paraId="0FAECF14">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（7）设置破坏或者影响风貌的广告、标牌、招贴；</w:t>
      </w:r>
    </w:p>
    <w:p w14:paraId="7CE960D9">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（8）在历史建筑上刻划、涂污；</w:t>
      </w:r>
    </w:p>
    <w:p w14:paraId="599C1CED">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（9）法律、法规禁止的其他行为。</w:t>
      </w:r>
    </w:p>
    <w:p w14:paraId="3A4608CB">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在省级历史文化街区保护范围内从事建设活动，应当符合保护规划的要求，不得损害历史文化遗产的真实性和完整性，不得对其传统格局和历史风貌造成破坏性影响。</w:t>
      </w:r>
    </w:p>
    <w:p w14:paraId="04BA662D">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在省级历史文化街区核心保护范围内，不得进行新建、扩建活动。新建、扩建必要的基础设施和公共服务设施的，市、县级城乡规划主管部门在核发建设工程规划许可证、乡村建设规划许可证前，应当征求同级文物主管部门的意见。</w:t>
      </w:r>
    </w:p>
    <w:p w14:paraId="239CBDB4">
      <w:pPr>
        <w:keepNext w:val="0"/>
        <w:keepLines w:val="0"/>
        <w:widowControl/>
        <w:suppressLineNumbers w:val="0"/>
        <w:jc w:val="left"/>
      </w:pPr>
      <w:r>
        <w:rPr>
          <w:rFonts w:hint="eastAsia" w:ascii="宋体" w:hAnsi="Calibri" w:eastAsia="宋体" w:cs="Times New Roman"/>
          <w:kern w:val="2"/>
          <w:sz w:val="28"/>
          <w:szCs w:val="22"/>
          <w:lang w:val="en-US" w:eastAsia="zh-CN" w:bidi="ar"/>
        </w:rPr>
        <w:t>省级历史文化街区核心保护范围内的消防设施、消防通道，应当按照有关消防技术标准和规范设置。确因历史文化街区的保护需要，无法按照标准和规范设置的，由市、县级人民政府公安机关消防机构会同同级城乡规划主管部门制订相应的防火安全保障方案。</w:t>
      </w:r>
    </w:p>
    <w:p w14:paraId="1160FA5A">
      <w:pPr>
        <w:pStyle w:val="4"/>
        <w:rPr>
          <w:rFonts w:hint="eastAsia"/>
          <w:lang w:val="en-US" w:eastAsia="zh-CN"/>
        </w:rPr>
      </w:pPr>
      <w:r>
        <w:rPr>
          <w:rFonts w:hint="eastAsia"/>
          <w:lang w:val="en-US" w:eastAsia="zh-CN"/>
        </w:rPr>
        <w:t>2、建设控制地带</w:t>
      </w:r>
    </w:p>
    <w:p w14:paraId="1C9DD92B">
      <w:pPr>
        <w:keepNext w:val="0"/>
        <w:keepLines w:val="0"/>
        <w:widowControl w:val="0"/>
        <w:numPr>
          <w:ilvl w:val="0"/>
          <w:numId w:val="0"/>
        </w:numPr>
        <w:suppressLineNumbers w:val="0"/>
        <w:spacing w:before="0" w:beforeAutospacing="0" w:after="0" w:afterAutospacing="0" w:line="560" w:lineRule="exact"/>
        <w:ind w:right="0" w:rightChars="0" w:firstLine="560" w:firstLineChars="200"/>
        <w:jc w:val="both"/>
        <w:rPr>
          <w:rFonts w:hint="eastAsia" w:ascii="宋体" w:hAnsi="Calibri" w:eastAsia="宋体" w:cs="Times New Roman"/>
          <w:b w:val="0"/>
          <w:kern w:val="2"/>
          <w:sz w:val="28"/>
          <w:szCs w:val="22"/>
          <w:lang w:val="en-US" w:eastAsia="zh-CN" w:bidi="ar"/>
        </w:rPr>
      </w:pPr>
      <w:r>
        <w:rPr>
          <w:rFonts w:hint="eastAsia" w:ascii="宋体" w:hAnsi="Calibri" w:eastAsia="宋体" w:cs="Times New Roman"/>
          <w:b w:val="0"/>
          <w:kern w:val="2"/>
          <w:sz w:val="28"/>
          <w:szCs w:val="22"/>
          <w:lang w:val="en-US" w:eastAsia="zh-CN" w:bidi="ar"/>
        </w:rPr>
        <w:t>街区规划红线范围内，核心保护范围之外划定为建设控制地带。建设控制地带面积为0.97公顷。</w:t>
      </w:r>
    </w:p>
    <w:p w14:paraId="3D73667E">
      <w:pPr>
        <w:keepNext w:val="0"/>
        <w:keepLines w:val="0"/>
        <w:widowControl w:val="0"/>
        <w:suppressLineNumbers w:val="0"/>
        <w:spacing w:before="0" w:beforeAutospacing="0" w:after="0" w:afterAutospacing="0" w:line="560" w:lineRule="exact"/>
        <w:ind w:left="0" w:right="0" w:firstLine="562" w:firstLineChars="200"/>
        <w:jc w:val="both"/>
        <w:rPr>
          <w:sz w:val="28"/>
          <w:szCs w:val="22"/>
          <w:lang w:val="en-US"/>
        </w:rPr>
      </w:pPr>
      <w:r>
        <w:rPr>
          <w:rFonts w:hint="eastAsia" w:ascii="宋体" w:hAnsi="宋体" w:eastAsia="宋体" w:cstheme="minorBidi"/>
          <w:b/>
          <w:kern w:val="2"/>
          <w:sz w:val="28"/>
          <w:szCs w:val="22"/>
          <w:lang w:val="en-US" w:eastAsia="zh-CN" w:bidi="ar-SA"/>
        </w:rPr>
        <w:t>管控要求：</w:t>
      </w:r>
      <w:r>
        <w:rPr>
          <w:rFonts w:hint="eastAsia" w:ascii="宋体" w:hAnsi="Calibri" w:eastAsia="宋体" w:cs="Times New Roman"/>
          <w:kern w:val="2"/>
          <w:sz w:val="28"/>
          <w:szCs w:val="22"/>
          <w:lang w:val="en-US" w:eastAsia="zh-CN" w:bidi="ar"/>
        </w:rPr>
        <w:t>应严格按照《辽宁省历史文化名城名镇名村及历史文化街区保护管理暂行办法》（辽政办发〔2017〕49号），严禁在省级历史文化街区保护范围内开展相关各类禁止活动。</w:t>
      </w:r>
    </w:p>
    <w:p w14:paraId="1D38E022">
      <w:pPr>
        <w:keepNext w:val="0"/>
        <w:keepLines w:val="0"/>
        <w:widowControl w:val="0"/>
        <w:suppressLineNumbers w:val="0"/>
        <w:spacing w:before="0" w:beforeAutospacing="0" w:after="0" w:afterAutospacing="0" w:line="560" w:lineRule="exact"/>
        <w:ind w:left="0" w:right="0" w:firstLine="560" w:firstLineChars="200"/>
        <w:jc w:val="both"/>
        <w:rPr>
          <w:rFonts w:hint="eastAsia" w:ascii="宋体" w:hAnsi="Calibri" w:eastAsia="宋体" w:cs="Times New Roman"/>
          <w:kern w:val="2"/>
          <w:sz w:val="28"/>
          <w:szCs w:val="22"/>
          <w:lang w:val="en-US" w:eastAsia="zh-CN" w:bidi="ar"/>
        </w:rPr>
      </w:pPr>
      <w:r>
        <w:rPr>
          <w:rFonts w:hint="eastAsia" w:ascii="宋体" w:hAnsi="Calibri" w:eastAsia="宋体" w:cs="Times New Roman"/>
          <w:kern w:val="2"/>
          <w:sz w:val="28"/>
          <w:szCs w:val="22"/>
          <w:lang w:val="en-US" w:eastAsia="zh-CN" w:bidi="ar"/>
        </w:rPr>
        <w:t>在省级历史文化名城、名镇、名村和历史文化街区建设控制地带内从事建设活动，应当符合保护规划的要求，不得损害历史文化遗产的真实性和完整性，不得对其传统格局和历史风貌造成破坏性影响 。</w:t>
      </w:r>
    </w:p>
    <w:p w14:paraId="0C5F17FA">
      <w:pPr>
        <w:pStyle w:val="3"/>
        <w:rPr>
          <w:rFonts w:hint="default"/>
          <w:lang w:val="en-US" w:eastAsia="zh-CN"/>
        </w:rPr>
      </w:pPr>
      <w:r>
        <w:drawing>
          <wp:anchor distT="0" distB="0" distL="114300" distR="114300" simplePos="0" relativeHeight="251661312" behindDoc="0" locked="0" layoutInCell="1" allowOverlap="1">
            <wp:simplePos x="0" y="0"/>
            <wp:positionH relativeFrom="column">
              <wp:posOffset>-46355</wp:posOffset>
            </wp:positionH>
            <wp:positionV relativeFrom="paragraph">
              <wp:posOffset>114935</wp:posOffset>
            </wp:positionV>
            <wp:extent cx="5430520" cy="3425190"/>
            <wp:effectExtent l="0" t="0" r="17780" b="3810"/>
            <wp:wrapSquare wrapText="bothSides"/>
            <wp:docPr id="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2"/>
                    <pic:cNvPicPr>
                      <a:picLocks noChangeAspect="1"/>
                    </pic:cNvPicPr>
                  </pic:nvPicPr>
                  <pic:blipFill>
                    <a:blip r:embed="rId12"/>
                    <a:stretch>
                      <a:fillRect/>
                    </a:stretch>
                  </pic:blipFill>
                  <pic:spPr>
                    <a:xfrm>
                      <a:off x="0" y="0"/>
                      <a:ext cx="5430520" cy="3425190"/>
                    </a:xfrm>
                    <a:prstGeom prst="rect">
                      <a:avLst/>
                    </a:prstGeom>
                    <a:noFill/>
                    <a:ln>
                      <a:noFill/>
                    </a:ln>
                  </pic:spPr>
                </pic:pic>
              </a:graphicData>
            </a:graphic>
          </wp:anchor>
        </w:drawing>
      </w:r>
      <w:r>
        <w:rPr>
          <w:rFonts w:hint="eastAsia"/>
          <w:lang w:val="en-US" w:eastAsia="zh-CN"/>
        </w:rPr>
        <w:t>四、建筑保护与整治</w:t>
      </w:r>
    </w:p>
    <w:p w14:paraId="4D2C4E96">
      <w:pPr>
        <w:pStyle w:val="4"/>
        <w:rPr>
          <w:rFonts w:hint="eastAsia"/>
          <w:lang w:val="en-US" w:eastAsia="zh-CN"/>
        </w:rPr>
      </w:pPr>
      <w:r>
        <w:rPr>
          <w:rFonts w:hint="eastAsia"/>
          <w:lang w:val="en-US" w:eastAsia="zh-CN"/>
        </w:rPr>
        <w:t>1、保护框架</w:t>
      </w:r>
    </w:p>
    <w:p w14:paraId="379636A7">
      <w:pPr>
        <w:rPr>
          <w:rFonts w:hint="eastAsia"/>
          <w:lang w:val="en-US" w:eastAsia="zh-CN"/>
        </w:rPr>
      </w:pPr>
      <w:r>
        <w:rPr>
          <w:rFonts w:hint="eastAsia"/>
          <w:lang w:val="en-US" w:eastAsia="zh-CN"/>
        </w:rPr>
        <w:t>构建老城——历史街区——传统风貌建筑的文化遗产体系，形成“点”、“线”、“面”相结合的整体保护体系。</w:t>
      </w:r>
    </w:p>
    <w:p w14:paraId="7282D81D">
      <w:pPr>
        <w:pStyle w:val="4"/>
        <w:rPr>
          <w:rFonts w:hint="default"/>
          <w:lang w:val="en-US" w:eastAsia="zh-CN"/>
        </w:rPr>
      </w:pPr>
      <w:r>
        <w:rPr>
          <w:rFonts w:hint="eastAsia"/>
          <w:lang w:val="en-US" w:eastAsia="zh-CN"/>
        </w:rPr>
        <w:t>2、建筑保护</w:t>
      </w:r>
    </w:p>
    <w:p w14:paraId="0DF085A6">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根据本政发〔1995〕35号，公布天后宫的的保护区划，天后宫清光绪年间首建，后进行过多次修复，现在天后宫建筑面积419平方米，占地面积2160平方米，具体如下：</w:t>
      </w:r>
    </w:p>
    <w:p w14:paraId="08FB846A">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1）保护范围：围墙外10米。</w:t>
      </w:r>
    </w:p>
    <w:p w14:paraId="04513664">
      <w:pPr>
        <w:keepNext w:val="0"/>
        <w:keepLines w:val="0"/>
        <w:widowControl w:val="0"/>
        <w:suppressLineNumbers w:val="0"/>
        <w:spacing w:before="0" w:beforeAutospacing="0" w:after="0" w:afterAutospacing="0" w:line="560" w:lineRule="exact"/>
        <w:ind w:left="0" w:right="0" w:firstLine="560" w:firstLineChars="200"/>
        <w:jc w:val="both"/>
        <w:rPr>
          <w:rFonts w:hint="eastAsia" w:ascii="宋体" w:hAnsi="Calibri" w:eastAsia="宋体" w:cs="Times New Roman"/>
          <w:kern w:val="2"/>
          <w:sz w:val="28"/>
          <w:szCs w:val="22"/>
          <w:lang w:val="en-US" w:eastAsia="zh-CN" w:bidi="ar"/>
        </w:rPr>
      </w:pPr>
      <w:r>
        <w:rPr>
          <w:rFonts w:hint="eastAsia" w:ascii="宋体" w:hAnsi="Calibri" w:eastAsia="宋体" w:cs="Times New Roman"/>
          <w:kern w:val="2"/>
          <w:sz w:val="28"/>
          <w:szCs w:val="22"/>
          <w:lang w:val="en-US" w:eastAsia="zh-CN" w:bidi="ar"/>
        </w:rPr>
        <w:t>2）建设控制地带：保护范围外50米。</w:t>
      </w:r>
    </w:p>
    <w:p w14:paraId="3AED4BB2">
      <w:pPr>
        <w:pStyle w:val="4"/>
        <w:rPr>
          <w:rFonts w:hint="eastAsia"/>
          <w:lang w:val="en-US" w:eastAsia="zh-CN"/>
        </w:rPr>
      </w:pPr>
      <w:r>
        <w:rPr>
          <w:rFonts w:hint="eastAsia"/>
          <w:lang w:val="en-US" w:eastAsia="zh-CN"/>
        </w:rPr>
        <w:t>3、保护范围控制要求</w:t>
      </w:r>
    </w:p>
    <w:p w14:paraId="4E9AF1BB">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（1）文物保护单位的保护范围，应当根据文物保护单位的类别、规模、内容以及周围环境的历史和现实情况合理划定，并在文物保护单位本体之外保持一定的安全距离，确保文物保护单位的真实性和完整性 。</w:t>
      </w:r>
    </w:p>
    <w:p w14:paraId="12B01CF6">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（2）不可移动文物应按照《中华人民共和国文物保护法》《中华人民共和国文物保护法实施条例》《中国文物古迹保护准则》等文物保护相关的法律法规、规章等进行保护。</w:t>
      </w:r>
    </w:p>
    <w:p w14:paraId="772BDC77">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 xml:space="preserve">（3）文物保护单位的保护范围内不得进行其他建设工程或者爆破、钻探、挖掘等作业。但是，因特殊情况需要在文物保护单位的保护范围内进行其他建设工程或者爆破、钻探、挖掘等作业的，必须保证文物保护单位的安全，并经核定公布该文物保护单位的人民政府批准，在批准前应当征得上一级人民政府文物行政部门同意 。 </w:t>
      </w:r>
    </w:p>
    <w:p w14:paraId="2B3EAA1A">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（4）建设工程选址，应当尽可能避开不可移动文物；因特殊情况不能避开的，对文物保护单位应当尽可能实施原址保护。</w:t>
      </w:r>
    </w:p>
    <w:p w14:paraId="74F11853">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（5）实施原址保护的，建设单位应当事先确定保护措施，根据文物保护单位的级别报相应的文物行政部门批准；未经批准的，不得开工建设。</w:t>
      </w:r>
    </w:p>
    <w:p w14:paraId="41D0A378">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（6）对文物保护单位进行修缮，应当根据文物保护单位的级别报相应的文物行政部门批准；对未核定为文物保护单位的不可移动文物进行修缮，应当报登记的县级人民政府文物行政部门批准。</w:t>
      </w:r>
    </w:p>
    <w:p w14:paraId="091C3364">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（7）使用不可移动文物，必须遵守不改变文物原状的原则，负责保护建筑物及其附属文物的安全，不得损毁、改建、添建或者拆除不可移动文物。</w:t>
      </w:r>
    </w:p>
    <w:p w14:paraId="6BC2A570">
      <w:pPr>
        <w:pStyle w:val="4"/>
        <w:rPr>
          <w:rFonts w:hint="eastAsia"/>
          <w:lang w:val="en-US" w:eastAsia="zh-CN"/>
        </w:rPr>
      </w:pPr>
      <w:r>
        <w:rPr>
          <w:rFonts w:hint="eastAsia"/>
          <w:lang w:val="en-US" w:eastAsia="zh-CN"/>
        </w:rPr>
        <w:t>4、建设控制地带保护控制要求</w:t>
      </w:r>
    </w:p>
    <w:p w14:paraId="24B31554">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文物保护单位的建设控制地带，是指在文物保护单位的保护范围外，为保护文物保护单位的安全、环境、历史风貌对建设项目加以限制的区域 。</w:t>
      </w:r>
    </w:p>
    <w:p w14:paraId="30F07CA1">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在文物保护单位的建设控制地带内进行建设工程，不得破坏文物保护单位的历史风貌；工程设计方案应当根据文物保护单位的级别，经相应的文物行政部门同意后，报城乡建设规划部门批准 。</w:t>
      </w:r>
    </w:p>
    <w:p w14:paraId="1E8BC4FF">
      <w:pPr>
        <w:keepNext w:val="0"/>
        <w:keepLines w:val="0"/>
        <w:widowControl w:val="0"/>
        <w:suppressLineNumbers w:val="0"/>
        <w:spacing w:before="0" w:beforeAutospacing="0" w:after="0" w:afterAutospacing="0" w:line="560" w:lineRule="exact"/>
        <w:ind w:left="0" w:right="0" w:firstLine="560" w:firstLineChars="200"/>
        <w:jc w:val="both"/>
        <w:rPr>
          <w:rFonts w:hint="eastAsia" w:ascii="仿宋" w:hAnsi="仿宋" w:eastAsia="仿宋" w:cs="仿宋"/>
          <w:kern w:val="2"/>
          <w:sz w:val="32"/>
          <w:szCs w:val="32"/>
          <w:lang w:val="en-US" w:eastAsia="zh-CN" w:bidi="ar"/>
        </w:rPr>
      </w:pPr>
      <w:r>
        <w:rPr>
          <w:rFonts w:hint="eastAsia" w:ascii="宋体" w:hAnsi="Calibri" w:eastAsia="宋体" w:cs="Times New Roman"/>
          <w:kern w:val="2"/>
          <w:sz w:val="28"/>
          <w:szCs w:val="22"/>
          <w:lang w:val="en-US" w:eastAsia="zh-CN" w:bidi="ar"/>
        </w:rPr>
        <w:t>在文物保护单位的保护范围和建设控制地带内，不得建设污染文物保护单位及其环境的设施，不得进行可能影响文物保护单位安全及其环境的活动。对已有的污染文物保护单位及其环境的设施，应当限期治理 。</w:t>
      </w:r>
      <w:r>
        <w:rPr>
          <w:rFonts w:hint="eastAsia" w:ascii="仿宋" w:hAnsi="仿宋" w:eastAsia="仿宋" w:cs="仿宋"/>
          <w:kern w:val="2"/>
          <w:sz w:val="32"/>
          <w:szCs w:val="32"/>
          <w:lang w:val="en-US" w:eastAsia="zh-CN" w:bidi="ar"/>
        </w:rPr>
        <w:t xml:space="preserve"> </w:t>
      </w:r>
    </w:p>
    <w:p w14:paraId="6CAA1E4E">
      <w:pPr>
        <w:pStyle w:val="4"/>
        <w:rPr>
          <w:rFonts w:hint="eastAsia"/>
          <w:lang w:val="en-US" w:eastAsia="zh-CN"/>
        </w:rPr>
      </w:pPr>
      <w:r>
        <w:rPr>
          <w:rFonts w:hint="eastAsia"/>
          <w:lang w:val="en-US" w:eastAsia="zh-CN"/>
        </w:rPr>
        <w:t>5、建（构）筑物分类保护整治措施</w:t>
      </w:r>
    </w:p>
    <w:p w14:paraId="03EE20F8">
      <w:pPr>
        <w:keepNext w:val="0"/>
        <w:keepLines w:val="0"/>
        <w:widowControl w:val="0"/>
        <w:suppressLineNumbers w:val="0"/>
        <w:spacing w:before="0" w:beforeAutospacing="0" w:after="0" w:afterAutospacing="0" w:line="560" w:lineRule="exact"/>
        <w:ind w:left="0" w:right="0" w:firstLine="562" w:firstLineChars="200"/>
        <w:jc w:val="both"/>
        <w:rPr>
          <w:rFonts w:hint="eastAsia" w:ascii="宋体" w:hAnsi="Calibri" w:eastAsia="宋体" w:cs="Times New Roman"/>
          <w:kern w:val="2"/>
          <w:sz w:val="28"/>
          <w:szCs w:val="22"/>
          <w:lang w:val="en-US" w:eastAsia="zh-CN" w:bidi="ar"/>
        </w:rPr>
      </w:pPr>
      <w:r>
        <w:rPr>
          <w:rFonts w:hint="eastAsia" w:ascii="宋体" w:hAnsi="Calibri" w:eastAsia="宋体" w:cs="Times New Roman"/>
          <w:b/>
          <w:bCs/>
          <w:kern w:val="2"/>
          <w:sz w:val="28"/>
          <w:szCs w:val="22"/>
          <w:lang w:val="en-US" w:eastAsia="zh-CN" w:bidi="ar"/>
        </w:rPr>
        <w:t>修缮</w:t>
      </w:r>
      <w:r>
        <w:rPr>
          <w:rFonts w:hint="eastAsia" w:ascii="宋体" w:hAnsi="Calibri" w:eastAsia="宋体" w:cs="Times New Roman"/>
          <w:kern w:val="2"/>
          <w:sz w:val="28"/>
          <w:szCs w:val="22"/>
          <w:lang w:val="en-US" w:eastAsia="zh-CN" w:bidi="ar"/>
        </w:rPr>
        <w:t>：</w:t>
      </w:r>
      <w:bookmarkStart w:id="1" w:name="_Hlk177566029"/>
      <w:r>
        <w:rPr>
          <w:rFonts w:hint="eastAsia" w:ascii="宋体" w:hAnsi="Calibri" w:eastAsia="宋体" w:cs="Times New Roman"/>
          <w:kern w:val="2"/>
          <w:sz w:val="28"/>
          <w:szCs w:val="22"/>
          <w:lang w:val="en-US" w:eastAsia="zh-CN" w:bidi="ar"/>
        </w:rPr>
        <w:t>历史文化街区内的文物保护单位主要采取“修缮”措施，包括日常保养、防护加固、现状整修、重点修复等。未来如有不可移动文物，将按以下措施进行保护与利用：</w:t>
      </w:r>
    </w:p>
    <w:bookmarkEnd w:id="1"/>
    <w:p w14:paraId="5D1805F2">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（1）按照文物保护相关法规进行保护管理和审批。</w:t>
      </w:r>
    </w:p>
    <w:p w14:paraId="2E765D0D">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（2）保护措施以修缮为主，原则上应原址保留，并应制定修缮计划。</w:t>
      </w:r>
    </w:p>
    <w:p w14:paraId="212BA79E">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（3）必须遵守不改变文物原状的原则，保护其真实性、完整性，采用最低限度的干预和恰当的保护技术，保护文化传统，完善文物建筑的防灾减灾措施。</w:t>
      </w:r>
    </w:p>
    <w:p w14:paraId="7A2ED93D">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（4）对文物建筑的利用应遵循《文物建筑开放导则》并经相应级别文物主管部门批准。</w:t>
      </w:r>
    </w:p>
    <w:p w14:paraId="6987FC87">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（5）控制文物保护单位周边建筑的高度、体量、色彩、形式，使周边建筑与文物保护单位相协调。</w:t>
      </w:r>
    </w:p>
    <w:p w14:paraId="2C68C622">
      <w:pPr>
        <w:keepNext w:val="0"/>
        <w:keepLines w:val="0"/>
        <w:widowControl w:val="0"/>
        <w:suppressLineNumbers w:val="0"/>
        <w:spacing w:before="0" w:beforeAutospacing="0" w:after="0" w:afterAutospacing="0" w:line="560" w:lineRule="exact"/>
        <w:ind w:left="0" w:right="0" w:firstLine="562" w:firstLineChars="200"/>
        <w:jc w:val="both"/>
        <w:rPr>
          <w:sz w:val="28"/>
          <w:szCs w:val="22"/>
          <w:lang w:val="en-US"/>
        </w:rPr>
      </w:pPr>
      <w:r>
        <w:rPr>
          <w:rFonts w:hint="eastAsia" w:ascii="宋体" w:hAnsi="Calibri" w:eastAsia="宋体" w:cs="Times New Roman"/>
          <w:b/>
          <w:bCs/>
          <w:kern w:val="2"/>
          <w:sz w:val="28"/>
          <w:szCs w:val="22"/>
          <w:lang w:val="en-US" w:eastAsia="zh-CN" w:bidi="ar"/>
        </w:rPr>
        <w:t>修缮、维修、改善</w:t>
      </w:r>
      <w:r>
        <w:rPr>
          <w:rFonts w:hint="eastAsia"/>
          <w:sz w:val="28"/>
          <w:szCs w:val="22"/>
          <w:lang w:val="en-US" w:eastAsia="zh-CN"/>
        </w:rPr>
        <w:t>：历史文化街区内的历史建筑主要采取“修缮、维修、改善”措施，本街区内暂无。未来如有历史建筑，将按照以下措施进行保护：</w:t>
      </w:r>
    </w:p>
    <w:p w14:paraId="7B8D42ED">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 xml:space="preserve">（1）按照历史建筑、传统风貌建筑保护相关法规规章进行保护管理和审批； </w:t>
      </w:r>
    </w:p>
    <w:p w14:paraId="06B4F5C0">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 xml:space="preserve">（2）保护措施以修缮、维修和改善为主，原则上应原址保留； </w:t>
      </w:r>
    </w:p>
    <w:p w14:paraId="36D0977D">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 xml:space="preserve">（3）对历史建筑的改善，应保护其临街立面及其它有价值的外立面、主体结构形式、有价值的平面布局、特色材料装饰和部位以及历史环境要素不得改变。除此之外的其他部位，可根据保护和利用的要求适当改变，但不得损害核心价值要素； </w:t>
      </w:r>
    </w:p>
    <w:p w14:paraId="0EFD04B5">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 xml:space="preserve">（4）对传统风貌建筑的改善，应保护其临街立面及其它有价值的外立面与建筑形制、特色材料装饰、部位的真实性，对建筑外观可加以维护修饰。建筑内部鼓励改善使用条件、适合现代使用； </w:t>
      </w:r>
    </w:p>
    <w:p w14:paraId="05CA8CF2">
      <w:pPr>
        <w:keepNext w:val="0"/>
        <w:keepLines w:val="0"/>
        <w:widowControl w:val="0"/>
        <w:suppressLineNumbers w:val="0"/>
        <w:spacing w:before="0" w:beforeAutospacing="0" w:after="0" w:afterAutospacing="0" w:line="560" w:lineRule="exact"/>
        <w:ind w:left="0" w:right="0" w:firstLine="560" w:firstLineChars="200"/>
        <w:jc w:val="both"/>
        <w:rPr>
          <w:lang w:val="en-US"/>
        </w:rPr>
      </w:pPr>
      <w:r>
        <w:rPr>
          <w:rFonts w:hint="eastAsia" w:ascii="宋体" w:hAnsi="Calibri" w:eastAsia="宋体" w:cs="Times New Roman"/>
          <w:kern w:val="2"/>
          <w:sz w:val="28"/>
          <w:szCs w:val="22"/>
          <w:lang w:val="en-US" w:eastAsia="zh-CN" w:bidi="ar"/>
        </w:rPr>
        <w:t>（5）鼓励、支持历史建筑、传统风貌建筑发展公共服务和文化创意、旅游产业、地方文化研究、展馆、博物馆等功能的活化利用，对历史建筑、传统风貌建筑保护不利的功能进行置换。对历史建筑、传统风貌建筑的利用应按照有关规定办理审批手续。</w:t>
      </w:r>
    </w:p>
    <w:p w14:paraId="3CCC6B87">
      <w:pPr>
        <w:keepNext w:val="0"/>
        <w:keepLines w:val="0"/>
        <w:widowControl w:val="0"/>
        <w:suppressLineNumbers w:val="0"/>
        <w:spacing w:before="0" w:beforeAutospacing="0" w:after="0" w:afterAutospacing="0" w:line="560" w:lineRule="exact"/>
        <w:ind w:left="0" w:right="0" w:firstLine="562" w:firstLineChars="200"/>
        <w:jc w:val="both"/>
        <w:rPr>
          <w:rFonts w:hint="eastAsia"/>
          <w:sz w:val="28"/>
          <w:szCs w:val="22"/>
          <w:lang w:val="en-US" w:eastAsia="zh-CN"/>
        </w:rPr>
      </w:pPr>
      <w:r>
        <w:rPr>
          <w:rFonts w:hint="eastAsia" w:ascii="宋体" w:hAnsi="Calibri" w:eastAsia="宋体" w:cs="Times New Roman"/>
          <w:b/>
          <w:bCs/>
          <w:kern w:val="2"/>
          <w:sz w:val="28"/>
          <w:szCs w:val="22"/>
          <w:lang w:val="en-US" w:eastAsia="zh-CN" w:bidi="ar"/>
        </w:rPr>
        <w:t>保留、维修、改善：</w:t>
      </w:r>
      <w:r>
        <w:rPr>
          <w:rFonts w:hint="eastAsia"/>
          <w:sz w:val="28"/>
          <w:szCs w:val="22"/>
          <w:lang w:val="en-US" w:eastAsia="zh-CN"/>
        </w:rPr>
        <w:t>适用于街区内的与传统风貌协调的传统风貌建筑、一般建筑。采取“保留、维修、改善”的保护与整治方式。应按以下措施进行保护与利用：</w:t>
      </w:r>
    </w:p>
    <w:p w14:paraId="7098AE35">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bookmarkStart w:id="2" w:name="_Hlk177566069"/>
      <w:r>
        <w:rPr>
          <w:rFonts w:hint="eastAsia" w:ascii="宋体" w:hAnsi="Calibri" w:eastAsia="宋体" w:cs="Times New Roman"/>
          <w:kern w:val="2"/>
          <w:sz w:val="28"/>
          <w:szCs w:val="22"/>
          <w:lang w:val="en-US" w:eastAsia="zh-CN" w:bidi="ar"/>
        </w:rPr>
        <w:t>（1）与传统风貌协调的传统风貌建筑、一般建筑应在不损害历史风貌真实性的原则下，按照风貌指引，对建筑外观加以维护修饰，鼓励对建筑内部使用条件进行提升、适合现代使用；</w:t>
      </w:r>
    </w:p>
    <w:p w14:paraId="18AA8CE6">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2）在符合相关法律法规的要求前提下，鼓励传统风貌建筑进行活化利用。迁离对传统风貌建筑保护不利的功能；鼓励、支持保护责任人利用传统风貌建筑发展文化创意、旅游产业、地方文化研究，开办展馆、博物馆，开展经营活动，以及以其他形式对传统风貌建筑进行保护和合理利用，但应符合有关消防技术标准和规范，并按照有关规定办理审批手续。</w:t>
      </w:r>
    </w:p>
    <w:p w14:paraId="54ABA904">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（3）与传统风貌协调的一般建筑在符合保护利用规划和实施方案的前提下，可以危房原址重建，并应按照有关规定办理审批手续。</w:t>
      </w:r>
    </w:p>
    <w:bookmarkEnd w:id="2"/>
    <w:p w14:paraId="0B1FA26E">
      <w:pPr>
        <w:keepNext w:val="0"/>
        <w:keepLines w:val="0"/>
        <w:widowControl w:val="0"/>
        <w:suppressLineNumbers w:val="0"/>
        <w:spacing w:before="0" w:beforeAutospacing="0" w:after="0" w:afterAutospacing="0" w:line="560" w:lineRule="exact"/>
        <w:ind w:left="0" w:right="0" w:firstLine="562" w:firstLineChars="200"/>
        <w:jc w:val="both"/>
        <w:rPr>
          <w:rFonts w:hint="eastAsia" w:ascii="宋体" w:hAnsi="Calibri" w:eastAsia="宋体" w:cs="Times New Roman"/>
          <w:kern w:val="2"/>
          <w:sz w:val="28"/>
          <w:szCs w:val="22"/>
          <w:lang w:val="en-US" w:eastAsia="zh-CN" w:bidi="ar"/>
        </w:rPr>
      </w:pPr>
      <w:r>
        <w:rPr>
          <w:rFonts w:hint="eastAsia" w:ascii="宋体" w:hAnsi="Calibri" w:eastAsia="宋体" w:cs="Times New Roman"/>
          <w:b/>
          <w:bCs/>
          <w:kern w:val="2"/>
          <w:sz w:val="28"/>
          <w:szCs w:val="22"/>
          <w:lang w:val="en-US" w:eastAsia="zh-CN" w:bidi="ar"/>
        </w:rPr>
        <w:t>整治</w:t>
      </w:r>
      <w:r>
        <w:rPr>
          <w:rFonts w:hint="eastAsia" w:hAnsi="Calibri" w:cs="Times New Roman"/>
          <w:b/>
          <w:bCs/>
          <w:kern w:val="2"/>
          <w:sz w:val="28"/>
          <w:szCs w:val="22"/>
          <w:lang w:val="en-US" w:eastAsia="zh-CN" w:bidi="ar"/>
        </w:rPr>
        <w:t>：</w:t>
      </w:r>
      <w:r>
        <w:rPr>
          <w:rFonts w:hint="eastAsia" w:ascii="宋体" w:hAnsi="Calibri" w:eastAsia="宋体" w:cs="Times New Roman"/>
          <w:kern w:val="2"/>
          <w:sz w:val="28"/>
          <w:szCs w:val="22"/>
          <w:lang w:val="en-US" w:eastAsia="zh-CN" w:bidi="ar"/>
        </w:rPr>
        <w:t>对与历史风貌有冲突的其他建筑物、构筑物，主要以整治措施为主，按照风貌指引，对建筑外观加以维护修饰，鼓励对建筑内部使用条件进行提升、适合现代使用。应对历史文化街区内与历史风貌相冲突的其他环境要素进行整治、拆除。对体现城市特定发展阶段、反映重要历史事件、凝聚社会公众情感记忆的既有建筑，尽可能更新改造利用。对符合城市规划和工程建设标准，在合理使用寿命内的公共建筑，除公共利益需要外，不得随意拆除。当对历史文化街区内与历史风貌有冲突的建筑物、构筑物采取拆除重建的方式时，应符合历史风貌的保护要求；当采取拆除不建的方式时，宜多增加公共开放空间，提高历史文化街区的宜居性。</w:t>
      </w:r>
    </w:p>
    <w:p w14:paraId="22E14ADE">
      <w:pPr>
        <w:keepNext w:val="0"/>
        <w:keepLines w:val="0"/>
        <w:widowControl w:val="0"/>
        <w:suppressLineNumbers w:val="0"/>
        <w:spacing w:before="0" w:beforeAutospacing="0" w:after="0" w:afterAutospacing="0" w:line="560" w:lineRule="exact"/>
        <w:ind w:left="0" w:right="0" w:firstLine="560" w:firstLineChars="200"/>
        <w:jc w:val="both"/>
        <w:rPr>
          <w:rFonts w:hint="eastAsia"/>
          <w:lang w:val="en-US" w:eastAsia="zh-CN"/>
        </w:rPr>
      </w:pPr>
      <w:r>
        <w:drawing>
          <wp:anchor distT="0" distB="0" distL="114300" distR="114300" simplePos="0" relativeHeight="251660288" behindDoc="0" locked="0" layoutInCell="1" allowOverlap="1">
            <wp:simplePos x="0" y="0"/>
            <wp:positionH relativeFrom="column">
              <wp:posOffset>-26035</wp:posOffset>
            </wp:positionH>
            <wp:positionV relativeFrom="paragraph">
              <wp:posOffset>116205</wp:posOffset>
            </wp:positionV>
            <wp:extent cx="5335270" cy="3359785"/>
            <wp:effectExtent l="0" t="0" r="17780" b="12065"/>
            <wp:wrapSquare wrapText="bothSides"/>
            <wp:docPr id="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1"/>
                    <pic:cNvPicPr>
                      <a:picLocks noChangeAspect="1"/>
                    </pic:cNvPicPr>
                  </pic:nvPicPr>
                  <pic:blipFill>
                    <a:blip r:embed="rId13"/>
                    <a:stretch>
                      <a:fillRect/>
                    </a:stretch>
                  </pic:blipFill>
                  <pic:spPr>
                    <a:xfrm>
                      <a:off x="0" y="0"/>
                      <a:ext cx="5335270" cy="3359785"/>
                    </a:xfrm>
                    <a:prstGeom prst="rect">
                      <a:avLst/>
                    </a:prstGeom>
                    <a:noFill/>
                    <a:ln>
                      <a:noFill/>
                    </a:ln>
                  </pic:spPr>
                </pic:pic>
              </a:graphicData>
            </a:graphic>
          </wp:anchor>
        </w:drawing>
      </w:r>
      <w:r>
        <w:rPr>
          <w:rFonts w:hint="eastAsia"/>
          <w:lang w:val="en-US" w:eastAsia="zh-CN"/>
        </w:rPr>
        <w:t>五、空间格局与景观风貌</w:t>
      </w:r>
    </w:p>
    <w:p w14:paraId="087125C1">
      <w:pPr>
        <w:pStyle w:val="4"/>
        <w:rPr>
          <w:rFonts w:hint="eastAsia"/>
          <w:lang w:val="en-US" w:eastAsia="zh-CN"/>
        </w:rPr>
      </w:pPr>
      <w:r>
        <w:rPr>
          <w:rFonts w:hint="eastAsia"/>
          <w:lang w:val="en-US" w:eastAsia="zh-CN"/>
        </w:rPr>
        <w:t>1、传统空间格局</w:t>
      </w:r>
    </w:p>
    <w:p w14:paraId="070F9CF7">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hAnsi="Calibri" w:cs="Times New Roman"/>
          <w:kern w:val="2"/>
          <w:sz w:val="28"/>
          <w:szCs w:val="22"/>
          <w:lang w:val="en-US" w:eastAsia="zh-CN" w:bidi="ar"/>
        </w:rPr>
        <w:t>（1）</w:t>
      </w:r>
      <w:r>
        <w:rPr>
          <w:rFonts w:hint="eastAsia" w:ascii="宋体" w:hAnsi="Calibri" w:eastAsia="宋体" w:cs="Times New Roman"/>
          <w:kern w:val="2"/>
          <w:sz w:val="28"/>
          <w:szCs w:val="22"/>
          <w:lang w:val="en-US" w:eastAsia="zh-CN" w:bidi="ar"/>
        </w:rPr>
        <w:t>重点保护街巷</w:t>
      </w:r>
    </w:p>
    <w:p w14:paraId="037A2028">
      <w:pPr>
        <w:keepNext w:val="0"/>
        <w:keepLines w:val="0"/>
        <w:widowControl w:val="0"/>
        <w:suppressLineNumbers w:val="0"/>
        <w:spacing w:before="0" w:beforeAutospacing="0" w:after="0" w:afterAutospacing="0" w:line="560" w:lineRule="exact"/>
        <w:ind w:left="0" w:right="0" w:firstLine="560" w:firstLineChars="200"/>
        <w:jc w:val="both"/>
        <w:rPr>
          <w:rFonts w:hint="eastAsia" w:ascii="宋体" w:hAnsi="Calibri" w:eastAsia="宋体" w:cs="Times New Roman"/>
          <w:kern w:val="2"/>
          <w:sz w:val="28"/>
          <w:szCs w:val="22"/>
          <w:lang w:val="en-US" w:eastAsia="zh-CN" w:bidi="ar"/>
        </w:rPr>
      </w:pPr>
      <w:bookmarkStart w:id="3" w:name="_Hlk177568369"/>
      <w:r>
        <w:rPr>
          <w:rFonts w:hint="eastAsia" w:ascii="宋体" w:hAnsi="Calibri" w:eastAsia="宋体" w:cs="Times New Roman"/>
          <w:kern w:val="2"/>
          <w:sz w:val="28"/>
          <w:szCs w:val="22"/>
          <w:lang w:val="en-US" w:eastAsia="zh-CN" w:bidi="ar"/>
        </w:rPr>
        <w:t>重点保护街巷包括天后街以及街区内“丁”字街巷空间。严格保护街巷的位置、名称、尺度、走向及两侧传统风貌建筑。对其周边环境和景观进行整治。增加区内的公共活动空间与步行空间，整体上形成商业与生活相融合的多元化场景环境。</w:t>
      </w:r>
      <w:bookmarkEnd w:id="3"/>
    </w:p>
    <w:p w14:paraId="585EA6DE">
      <w:pPr>
        <w:keepNext w:val="0"/>
        <w:keepLines w:val="0"/>
        <w:widowControl w:val="0"/>
        <w:suppressLineNumbers w:val="0"/>
        <w:spacing w:before="0" w:beforeAutospacing="0" w:after="0" w:afterAutospacing="0" w:line="560" w:lineRule="exact"/>
        <w:ind w:left="0" w:right="0" w:firstLine="560" w:firstLineChars="200"/>
        <w:jc w:val="both"/>
        <w:rPr>
          <w:rFonts w:hint="eastAsia" w:hAnsi="Calibri" w:cs="Times New Roman"/>
          <w:kern w:val="2"/>
          <w:sz w:val="28"/>
          <w:szCs w:val="22"/>
          <w:lang w:val="en-US" w:eastAsia="zh-CN" w:bidi="ar"/>
        </w:rPr>
      </w:pPr>
      <w:r>
        <w:rPr>
          <w:rFonts w:hint="eastAsia" w:hAnsi="Calibri" w:cs="Times New Roman"/>
          <w:kern w:val="2"/>
          <w:sz w:val="28"/>
          <w:szCs w:val="22"/>
          <w:lang w:val="en-US" w:eastAsia="zh-CN" w:bidi="ar"/>
        </w:rPr>
        <w:t>（2）一般保护街巷</w:t>
      </w:r>
    </w:p>
    <w:p w14:paraId="745DDAB3">
      <w:pPr>
        <w:keepNext w:val="0"/>
        <w:keepLines w:val="0"/>
        <w:widowControl w:val="0"/>
        <w:suppressLineNumbers w:val="0"/>
        <w:spacing w:before="0" w:beforeAutospacing="0" w:after="0" w:afterAutospacing="0" w:line="560" w:lineRule="exact"/>
        <w:ind w:left="0" w:right="0" w:firstLine="560" w:firstLineChars="200"/>
        <w:jc w:val="both"/>
        <w:rPr>
          <w:rFonts w:hint="eastAsia" w:hAnsi="Calibri" w:cs="Times New Roman"/>
          <w:kern w:val="2"/>
          <w:sz w:val="28"/>
          <w:szCs w:val="22"/>
          <w:lang w:val="en-US" w:eastAsia="zh-CN" w:bidi="ar"/>
        </w:rPr>
      </w:pPr>
      <w:r>
        <w:rPr>
          <w:rFonts w:hint="eastAsia" w:hAnsi="Calibri" w:cs="Times New Roman"/>
          <w:kern w:val="2"/>
          <w:sz w:val="28"/>
          <w:szCs w:val="22"/>
          <w:lang w:val="en-US" w:eastAsia="zh-CN" w:bidi="ar"/>
        </w:rPr>
        <w:t>一般保护街巷为街区内其他街巷。</w:t>
      </w:r>
    </w:p>
    <w:p w14:paraId="0E07906E">
      <w:pPr>
        <w:pStyle w:val="4"/>
        <w:rPr>
          <w:rFonts w:hint="eastAsia"/>
          <w:lang w:val="en-US" w:eastAsia="zh-CN"/>
        </w:rPr>
      </w:pPr>
      <w:r>
        <w:rPr>
          <w:rFonts w:hint="eastAsia"/>
          <w:lang w:val="en-US" w:eastAsia="zh-CN"/>
        </w:rPr>
        <w:t>2、景观风貌保护</w:t>
      </w:r>
    </w:p>
    <w:p w14:paraId="272F7615">
      <w:pPr>
        <w:keepNext w:val="0"/>
        <w:keepLines w:val="0"/>
        <w:widowControl w:val="0"/>
        <w:suppressLineNumbers w:val="0"/>
        <w:spacing w:before="0" w:beforeAutospacing="0" w:after="0" w:afterAutospacing="0" w:line="560" w:lineRule="exact"/>
        <w:ind w:left="0" w:right="0" w:firstLine="560" w:firstLineChars="200"/>
        <w:jc w:val="both"/>
        <w:rPr>
          <w:rFonts w:hint="eastAsia" w:ascii="宋体" w:hAnsi="Calibri" w:eastAsia="宋体" w:cs="Times New Roman"/>
          <w:kern w:val="2"/>
          <w:sz w:val="28"/>
          <w:szCs w:val="22"/>
          <w:lang w:val="en-US" w:eastAsia="zh-CN" w:bidi="ar"/>
        </w:rPr>
      </w:pPr>
      <w:bookmarkStart w:id="4" w:name="_Hlk171084825"/>
      <w:r>
        <w:rPr>
          <w:rFonts w:hint="eastAsia" w:ascii="宋体" w:hAnsi="Calibri" w:eastAsia="宋体" w:cs="Times New Roman"/>
          <w:kern w:val="2"/>
          <w:sz w:val="28"/>
          <w:szCs w:val="22"/>
          <w:lang w:val="en-US" w:eastAsia="zh-CN" w:bidi="ar"/>
        </w:rPr>
        <w:t>街巷格局保护：街区为典型的方格网式路网体系构成的街巷格局，谋求更高效的土地利用，建筑围合形成院落空间，强调场所精神，延续了天后宫建设初期的空间理念和功能活动方式。规划保持原有的道路宽度、路网形态与尺度，延续传统的窄路密网的街巷格局与空间肌理。</w:t>
      </w:r>
    </w:p>
    <w:p w14:paraId="4B6E667D">
      <w:pPr>
        <w:pStyle w:val="4"/>
        <w:rPr>
          <w:rFonts w:hint="default"/>
          <w:lang w:val="en-US" w:eastAsia="zh-CN"/>
        </w:rPr>
      </w:pPr>
      <w:r>
        <w:rPr>
          <w:rFonts w:hint="eastAsia"/>
          <w:lang w:val="en-US" w:eastAsia="zh-CN"/>
        </w:rPr>
        <w:drawing>
          <wp:anchor distT="0" distB="0" distL="114300" distR="114300" simplePos="0" relativeHeight="251662336" behindDoc="0" locked="0" layoutInCell="1" allowOverlap="1">
            <wp:simplePos x="0" y="0"/>
            <wp:positionH relativeFrom="column">
              <wp:posOffset>-24130</wp:posOffset>
            </wp:positionH>
            <wp:positionV relativeFrom="paragraph">
              <wp:posOffset>178435</wp:posOffset>
            </wp:positionV>
            <wp:extent cx="5499735" cy="3486785"/>
            <wp:effectExtent l="0" t="0" r="5715" b="18415"/>
            <wp:wrapSquare wrapText="bothSides"/>
            <wp:docPr id="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8"/>
                    <pic:cNvPicPr>
                      <a:picLocks noChangeAspect="1"/>
                    </pic:cNvPicPr>
                  </pic:nvPicPr>
                  <pic:blipFill>
                    <a:blip r:embed="rId14"/>
                    <a:srcRect t="7375" b="2925"/>
                    <a:stretch>
                      <a:fillRect/>
                    </a:stretch>
                  </pic:blipFill>
                  <pic:spPr>
                    <a:xfrm>
                      <a:off x="0" y="0"/>
                      <a:ext cx="5499735" cy="3486785"/>
                    </a:xfrm>
                    <a:prstGeom prst="rect">
                      <a:avLst/>
                    </a:prstGeom>
                    <a:noFill/>
                    <a:ln>
                      <a:noFill/>
                    </a:ln>
                  </pic:spPr>
                </pic:pic>
              </a:graphicData>
            </a:graphic>
          </wp:anchor>
        </w:drawing>
      </w:r>
      <w:bookmarkEnd w:id="4"/>
      <w:r>
        <w:rPr>
          <w:rFonts w:hint="eastAsia"/>
          <w:lang w:val="en-US" w:eastAsia="zh-CN"/>
        </w:rPr>
        <w:t>3、建筑风貌引导</w:t>
      </w:r>
    </w:p>
    <w:p w14:paraId="439F8BBE">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bookmarkStart w:id="5" w:name="_Hlk171085141"/>
      <w:r>
        <w:rPr>
          <w:rFonts w:hint="eastAsia" w:ascii="宋体" w:hAnsi="Calibri" w:eastAsia="宋体" w:cs="Times New Roman"/>
          <w:kern w:val="2"/>
          <w:sz w:val="28"/>
          <w:szCs w:val="22"/>
          <w:lang w:val="en-US" w:eastAsia="zh-CN" w:bidi="ar"/>
        </w:rPr>
        <w:t>建筑高度：规划区内部建筑高度整体分布均质，层次感分明，建筑高度从1-3层不等。从整体分布来看，天后街区大部分区域主要以一层自建民房建筑为主，相比之下，多层建筑位于街区的东北。</w:t>
      </w:r>
    </w:p>
    <w:p w14:paraId="0C8CED06">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bookmarkStart w:id="6" w:name="_Hlk170976297"/>
      <w:bookmarkStart w:id="7" w:name="_Hlk177568830"/>
      <w:r>
        <w:rPr>
          <w:rFonts w:hint="eastAsia" w:ascii="宋体" w:hAnsi="Calibri" w:eastAsia="宋体" w:cs="Times New Roman"/>
          <w:kern w:val="2"/>
          <w:sz w:val="28"/>
          <w:szCs w:val="22"/>
          <w:lang w:val="en-US" w:eastAsia="zh-CN" w:bidi="ar"/>
        </w:rPr>
        <w:t>历史文化街区核心保护范围内，维持现状建筑高度不变，新建或扩建的建筑高度应控制在9米以下，同时应满足文物保护单位、历史建筑对周边建筑的高度要求。</w:t>
      </w:r>
    </w:p>
    <w:bookmarkEnd w:id="6"/>
    <w:p w14:paraId="2764EBAD">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现状超过限高的建筑近期有条件实施改造应按照要求，近期无法改造的予以保留并进行风貌协调。</w:t>
      </w:r>
    </w:p>
    <w:bookmarkEnd w:id="7"/>
    <w:p w14:paraId="3795C142">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建筑色彩：历史文化街区内的各类建筑进行了综合分析，确定了街区的整体色彩范围和设计原则。依据该规划，</w:t>
      </w:r>
      <w:bookmarkStart w:id="8" w:name="_Hlk177568871"/>
      <w:r>
        <w:rPr>
          <w:rFonts w:hint="eastAsia" w:ascii="宋体" w:hAnsi="Calibri" w:eastAsia="宋体" w:cs="Times New Roman"/>
          <w:kern w:val="2"/>
          <w:sz w:val="28"/>
          <w:szCs w:val="22"/>
          <w:lang w:val="en-US" w:eastAsia="zh-CN" w:bidi="ar"/>
        </w:rPr>
        <w:t>历史文化街区需要严格控制文物保护单位及其周边的建筑色彩，历史街区保护范围内的建筑色彩必须与文物保护单位相协调</w:t>
      </w:r>
      <w:bookmarkEnd w:id="8"/>
      <w:r>
        <w:rPr>
          <w:rFonts w:hint="eastAsia" w:ascii="宋体" w:hAnsi="Calibri" w:eastAsia="宋体" w:cs="Times New Roman"/>
          <w:kern w:val="2"/>
          <w:sz w:val="28"/>
          <w:szCs w:val="22"/>
          <w:lang w:val="en-US" w:eastAsia="zh-CN" w:bidi="ar"/>
        </w:rPr>
        <w:t>。</w:t>
      </w:r>
    </w:p>
    <w:p w14:paraId="3724ABED">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天后街区主色调以低彩度为主，辅助色以深灰色，点缀色以红色为主。</w:t>
      </w:r>
    </w:p>
    <w:p w14:paraId="540B92CC">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建筑风格：</w:t>
      </w:r>
      <w:bookmarkStart w:id="9" w:name="_Hlk177568900"/>
      <w:r>
        <w:rPr>
          <w:rFonts w:hint="eastAsia" w:ascii="宋体" w:hAnsi="Calibri" w:eastAsia="宋体" w:cs="Times New Roman"/>
          <w:kern w:val="2"/>
          <w:sz w:val="28"/>
          <w:szCs w:val="22"/>
          <w:lang w:val="en-US" w:eastAsia="zh-CN" w:bidi="ar"/>
        </w:rPr>
        <w:t>街区内的文物保护单位和传统风貌建筑以清代风格和道教传统风格为主，建筑结构多采用砖石混合，也有建筑采用了混凝土结构、并使用了木材、玻璃等建筑材料。在进行新建建筑或建筑立面改造时，应注意与街区传统建筑风格相协调。</w:t>
      </w:r>
    </w:p>
    <w:bookmarkEnd w:id="9"/>
    <w:p w14:paraId="395A84F2">
      <w:pPr>
        <w:keepNext w:val="0"/>
        <w:keepLines w:val="0"/>
        <w:widowControl w:val="0"/>
        <w:suppressLineNumbers w:val="0"/>
        <w:spacing w:before="0" w:beforeAutospacing="0" w:after="0" w:afterAutospacing="0" w:line="560" w:lineRule="exact"/>
        <w:ind w:left="0" w:right="0" w:firstLine="560" w:firstLineChars="200"/>
        <w:jc w:val="both"/>
        <w:rPr>
          <w:rFonts w:hint="eastAsia" w:ascii="黑体" w:hAnsi="宋体" w:eastAsia="黑体" w:cs="黑体"/>
          <w:sz w:val="24"/>
          <w:szCs w:val="24"/>
          <w:lang w:val="en-US"/>
        </w:rPr>
      </w:pPr>
      <w:r>
        <w:rPr>
          <w:rFonts w:hint="eastAsia" w:ascii="宋体" w:hAnsi="Calibri" w:eastAsia="宋体" w:cs="Times New Roman"/>
          <w:kern w:val="2"/>
          <w:sz w:val="28"/>
          <w:szCs w:val="22"/>
          <w:lang w:val="en-US" w:eastAsia="zh-CN" w:bidi="ar"/>
        </w:rPr>
        <w:t>建筑体量：</w:t>
      </w:r>
      <w:bookmarkStart w:id="10" w:name="_Hlk177568921"/>
      <w:r>
        <w:rPr>
          <w:rFonts w:hint="eastAsia" w:ascii="宋体" w:hAnsi="Calibri" w:eastAsia="宋体" w:cs="Times New Roman"/>
          <w:kern w:val="2"/>
          <w:sz w:val="28"/>
          <w:szCs w:val="22"/>
          <w:lang w:val="en-US" w:eastAsia="zh-CN" w:bidi="ar"/>
        </w:rPr>
        <w:t>街区新建、改建建筑体量应以小体量建筑为主，展现天后宫传统空间肌理的布局形式。街区空间肌理应结合原有“口”字形院落围合式布局的街区形态。</w:t>
      </w:r>
      <w:bookmarkEnd w:id="5"/>
      <w:bookmarkEnd w:id="10"/>
    </w:p>
    <w:p w14:paraId="1D19A61F">
      <w:pPr>
        <w:pStyle w:val="3"/>
        <w:numPr>
          <w:ilvl w:val="0"/>
          <w:numId w:val="1"/>
        </w:numPr>
        <w:rPr>
          <w:rFonts w:hint="eastAsia"/>
          <w:lang w:val="en-US" w:eastAsia="zh-CN"/>
        </w:rPr>
      </w:pPr>
      <w:r>
        <w:rPr>
          <w:rFonts w:hint="eastAsia"/>
          <w:lang w:val="en-US" w:eastAsia="zh-CN"/>
        </w:rPr>
        <w:t>规划用地控制</w:t>
      </w:r>
    </w:p>
    <w:p w14:paraId="0CC7CB8A">
      <w:pPr>
        <w:numPr>
          <w:ilvl w:val="0"/>
          <w:numId w:val="0"/>
        </w:numPr>
        <w:ind w:firstLine="560" w:firstLineChars="200"/>
        <w:rPr>
          <w:rFonts w:hint="default"/>
          <w:lang w:val="en-US" w:eastAsia="zh-CN"/>
        </w:rPr>
      </w:pPr>
      <w:r>
        <w:rPr>
          <w:rFonts w:hint="default"/>
          <w:lang w:val="en-US" w:eastAsia="zh-CN"/>
        </w:rPr>
        <w:t>天后历史文化街区根据现有用地分布与街区功能需求，规划形成四大功能区域，包括绿地休闲区、核心游览区、文化展览区、商业服务区。</w:t>
      </w:r>
    </w:p>
    <w:p w14:paraId="4FE7D590">
      <w:pPr>
        <w:numPr>
          <w:ilvl w:val="0"/>
          <w:numId w:val="0"/>
        </w:numPr>
        <w:ind w:firstLine="560" w:firstLineChars="200"/>
        <w:rPr>
          <w:rFonts w:hint="default"/>
          <w:lang w:val="en-US" w:eastAsia="zh-CN"/>
        </w:rPr>
      </w:pPr>
      <w:r>
        <w:rPr>
          <w:rFonts w:hint="default"/>
          <w:lang w:val="en-US" w:eastAsia="zh-CN"/>
        </w:rPr>
        <w:t>绿地休闲区：以天后宫东南侧地块为核心，依托天后宫广场和停车场地建立居民及游客绿地休闲区；</w:t>
      </w:r>
    </w:p>
    <w:p w14:paraId="5A606431">
      <w:pPr>
        <w:numPr>
          <w:ilvl w:val="0"/>
          <w:numId w:val="0"/>
        </w:numPr>
        <w:ind w:firstLine="560" w:firstLineChars="200"/>
        <w:rPr>
          <w:rFonts w:hint="default"/>
          <w:lang w:val="en-US" w:eastAsia="zh-CN"/>
        </w:rPr>
      </w:pPr>
      <w:r>
        <w:rPr>
          <w:rFonts w:hint="default"/>
          <w:lang w:val="en-US" w:eastAsia="zh-CN"/>
        </w:rPr>
        <w:t>核心游览区：将天后宫主体院落作为街区重要的核心游览区；</w:t>
      </w:r>
    </w:p>
    <w:p w14:paraId="32BFE4AC">
      <w:pPr>
        <w:numPr>
          <w:ilvl w:val="0"/>
          <w:numId w:val="0"/>
        </w:numPr>
        <w:ind w:firstLine="560" w:firstLineChars="200"/>
        <w:rPr>
          <w:rFonts w:hint="default"/>
          <w:lang w:val="en-US" w:eastAsia="zh-CN"/>
        </w:rPr>
      </w:pPr>
      <w:r>
        <w:rPr>
          <w:rFonts w:hint="default"/>
          <w:lang w:val="en-US" w:eastAsia="zh-CN"/>
        </w:rPr>
        <w:t>文化展览区：天后街区的区域旅游服务中心；</w:t>
      </w:r>
    </w:p>
    <w:p w14:paraId="70F65D69">
      <w:pPr>
        <w:numPr>
          <w:ilvl w:val="0"/>
          <w:numId w:val="0"/>
        </w:numPr>
        <w:ind w:firstLine="560" w:firstLineChars="200"/>
        <w:rPr>
          <w:rFonts w:hint="default"/>
          <w:lang w:val="en-US" w:eastAsia="zh-CN"/>
        </w:rPr>
      </w:pPr>
      <w:r>
        <w:rPr>
          <w:rFonts w:hint="default"/>
          <w:lang w:val="en-US" w:eastAsia="zh-CN"/>
        </w:rPr>
        <w:t>商业服务区：可让游客参与的休闲、体验区域。</w:t>
      </w:r>
    </w:p>
    <w:p w14:paraId="569EC2D8">
      <w:pPr>
        <w:pStyle w:val="3"/>
        <w:numPr>
          <w:ilvl w:val="0"/>
          <w:numId w:val="1"/>
        </w:numPr>
        <w:rPr>
          <w:rFonts w:hint="default"/>
          <w:lang w:val="en-US" w:eastAsia="zh-CN"/>
        </w:rPr>
      </w:pPr>
      <w:r>
        <w:rPr>
          <w:rFonts w:hint="eastAsia"/>
          <w:lang w:val="en-US" w:eastAsia="zh-CN"/>
        </w:rPr>
        <w:t>旅游设施规划</w:t>
      </w:r>
    </w:p>
    <w:p w14:paraId="2FDDAF08">
      <w:pPr>
        <w:pStyle w:val="4"/>
        <w:rPr>
          <w:rFonts w:hint="eastAsia"/>
          <w:lang w:val="en-US" w:eastAsia="zh-CN"/>
        </w:rPr>
      </w:pPr>
      <w:r>
        <w:rPr>
          <w:rFonts w:hint="eastAsia"/>
          <w:lang w:val="en-US" w:eastAsia="zh-CN"/>
        </w:rPr>
        <w:t>1、旅游功能区划</w:t>
      </w:r>
    </w:p>
    <w:p w14:paraId="2ECC7B12">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街区内共划分为6个旅游功能区，包括：复合功能利用区、天后核心展示区、特色商品零售区、红色文化展览区、旅游住宿区和广场休闲区。</w:t>
      </w:r>
    </w:p>
    <w:p w14:paraId="501FDF0F">
      <w:pPr>
        <w:pStyle w:val="4"/>
        <w:rPr>
          <w:rFonts w:hint="eastAsia"/>
          <w:lang w:val="en-US" w:eastAsia="zh-CN"/>
        </w:rPr>
      </w:pPr>
      <w:r>
        <w:rPr>
          <w:rFonts w:hint="eastAsia"/>
          <w:lang w:val="en-US" w:eastAsia="zh-CN"/>
        </w:rPr>
        <w:t>2、旅游路线规划</w:t>
      </w:r>
    </w:p>
    <w:p w14:paraId="3ACA9949">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以历史空间为物质基础，以人文历史点迹为要素，以历史人文线索为关联，通过多元化手段和方式，建立完整的场所体系，规划丰富游览路线。规划保护区内部共游览路线和核心游览节点，路线设计统筹考虑娱乐文化、饮食文化、商业文化、社会文化、红色文化等历史资源。</w:t>
      </w:r>
    </w:p>
    <w:p w14:paraId="4B885CE2">
      <w:pPr>
        <w:keepNext w:val="0"/>
        <w:keepLines w:val="0"/>
        <w:widowControl w:val="0"/>
        <w:suppressLineNumbers w:val="0"/>
        <w:spacing w:before="0" w:beforeAutospacing="0" w:after="0" w:afterAutospacing="0" w:line="360" w:lineRule="auto"/>
        <w:ind w:left="0" w:right="0" w:firstLine="0" w:firstLineChars="0"/>
        <w:jc w:val="both"/>
        <w:rPr>
          <w:rFonts w:hint="eastAsia" w:ascii="黑体" w:hAnsi="宋体" w:eastAsia="黑体" w:cs="黑体"/>
          <w:sz w:val="24"/>
          <w:szCs w:val="24"/>
          <w:lang w:val="en-US"/>
        </w:rPr>
      </w:pPr>
      <w:r>
        <w:rPr>
          <w:rFonts w:hint="eastAsia" w:ascii="宋体" w:hAnsi="Calibri" w:eastAsia="宋体" w:cs="Times New Roman"/>
          <w:kern w:val="2"/>
          <w:sz w:val="21"/>
          <w:szCs w:val="22"/>
          <w:lang w:val="en-US" w:eastAsia="zh-CN" w:bidi="ar"/>
        </w:rPr>
        <w:drawing>
          <wp:inline distT="0" distB="0" distL="114300" distR="114300">
            <wp:extent cx="5385435" cy="3386455"/>
            <wp:effectExtent l="0" t="0" r="0" b="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5"/>
                    <a:srcRect t="7335" b="3682"/>
                    <a:stretch>
                      <a:fillRect/>
                    </a:stretch>
                  </pic:blipFill>
                  <pic:spPr>
                    <a:xfrm>
                      <a:off x="0" y="0"/>
                      <a:ext cx="5385435" cy="3386455"/>
                    </a:xfrm>
                    <a:prstGeom prst="rect">
                      <a:avLst/>
                    </a:prstGeom>
                    <a:noFill/>
                    <a:ln>
                      <a:noFill/>
                    </a:ln>
                  </pic:spPr>
                </pic:pic>
              </a:graphicData>
            </a:graphic>
          </wp:inline>
        </w:drawing>
      </w:r>
    </w:p>
    <w:p w14:paraId="3E415C37">
      <w:pPr>
        <w:pStyle w:val="4"/>
        <w:rPr>
          <w:rFonts w:hint="eastAsia"/>
          <w:lang w:val="en-US" w:eastAsia="zh-CN"/>
        </w:rPr>
      </w:pPr>
      <w:r>
        <w:rPr>
          <w:rFonts w:hint="eastAsia"/>
          <w:lang w:val="en-US" w:eastAsia="zh-CN"/>
        </w:rPr>
        <w:t>3、旅游设施规划</w:t>
      </w:r>
    </w:p>
    <w:p w14:paraId="10853A01">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hAnsi="Calibri" w:cs="Times New Roman"/>
          <w:kern w:val="2"/>
          <w:sz w:val="28"/>
          <w:szCs w:val="22"/>
          <w:lang w:val="en-US" w:eastAsia="zh-CN" w:bidi="ar"/>
        </w:rPr>
        <w:t>旅游</w:t>
      </w:r>
      <w:r>
        <w:rPr>
          <w:rFonts w:hint="eastAsia" w:ascii="宋体" w:hAnsi="Calibri" w:eastAsia="宋体" w:cs="Times New Roman"/>
          <w:kern w:val="2"/>
          <w:sz w:val="28"/>
          <w:szCs w:val="22"/>
          <w:lang w:val="en-US" w:eastAsia="zh-CN" w:bidi="ar"/>
        </w:rPr>
        <w:t>服务设施应有利于保护景观，便于旅游观光，为游客提供畅通、便捷、安全、舒适、经济的服务条件；旅游服务设施应满足不同文化层次、职业类型、年龄结构和消费层次游人的需要，使游客各得其所。</w:t>
      </w:r>
    </w:p>
    <w:p w14:paraId="4722257C">
      <w:pPr>
        <w:keepNext w:val="0"/>
        <w:keepLines w:val="0"/>
        <w:widowControl w:val="0"/>
        <w:suppressLineNumbers w:val="0"/>
        <w:spacing w:before="0" w:beforeAutospacing="0" w:after="0" w:afterAutospacing="0" w:line="560" w:lineRule="exact"/>
        <w:ind w:left="0" w:right="0" w:firstLine="560" w:firstLineChars="200"/>
        <w:jc w:val="both"/>
        <w:rPr>
          <w:sz w:val="28"/>
          <w:szCs w:val="22"/>
          <w:lang w:val="en-US"/>
        </w:rPr>
      </w:pPr>
      <w:r>
        <w:rPr>
          <w:rFonts w:hint="eastAsia" w:ascii="宋体" w:hAnsi="Calibri" w:eastAsia="宋体" w:cs="Times New Roman"/>
          <w:kern w:val="2"/>
          <w:sz w:val="28"/>
          <w:szCs w:val="22"/>
          <w:lang w:val="en-US" w:eastAsia="zh-CN" w:bidi="ar"/>
        </w:rPr>
        <w:t>通过设置系统标识、展示历史文化资源，确立城市历史文化的识别体系与表现体系，建立时间、空间统一的历史文化坐标。用多种适合手段如标牌、地景、建筑小品等对历史文化遗址、遗存加以表现，历史事件发生地立说明牌，沿游览路线设置指示牌及电子语音服务，并辅以历史文化资源的查询和宣传系统。旅游配套服务设施包括旅馆、餐饮服务、游客服务中心、卫生间、急救站、治安联防站、问讯处等的规划设计。</w:t>
      </w:r>
    </w:p>
    <w:sectPr>
      <w:headerReference r:id="rId7" w:type="first"/>
      <w:footerReference r:id="rId10" w:type="first"/>
      <w:headerReference r:id="rId5" w:type="default"/>
      <w:footerReference r:id="rId8" w:type="default"/>
      <w:headerReference r:id="rId6" w:type="even"/>
      <w:footerReference r:id="rId9" w:type="even"/>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ind w:firstLine="560"/>
      </w:pPr>
      <w:r>
        <w:separator/>
      </w:r>
    </w:p>
  </w:endnote>
  <w:endnote w:type="continuationSeparator" w:id="1">
    <w:p>
      <w:pPr>
        <w:ind w:firstLine="5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C4253">
    <w:pPr>
      <w:pStyle w:val="5"/>
      <w:ind w:firstLine="360"/>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FFE37F">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50FFE37F">
                    <w:pPr>
                      <w:pStyle w:val="5"/>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15237E">
    <w:pPr>
      <w:pStyle w:val="5"/>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15C5C0">
    <w:pPr>
      <w:pStyle w:val="5"/>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ind w:firstLine="560"/>
      </w:pPr>
      <w:r>
        <w:separator/>
      </w:r>
    </w:p>
  </w:footnote>
  <w:footnote w:type="continuationSeparator" w:id="1">
    <w:p>
      <w:pPr>
        <w:ind w:firstLine="56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6015F5">
    <w:pPr>
      <w:ind w:left="5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BB1FE6">
    <w:pPr>
      <w:pStyle w:val="6"/>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23A5C3">
    <w:pPr>
      <w:pStyle w:val="6"/>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366B4DE"/>
    <w:multiLevelType w:val="singleLevel"/>
    <w:tmpl w:val="4366B4DE"/>
    <w:lvl w:ilvl="0" w:tentative="0">
      <w:start w:val="6"/>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E2NWYzMzdjMzBhZjRlMjZmODA2NWVjZjNjMTNmNzEifQ=="/>
  </w:docVars>
  <w:rsids>
    <w:rsidRoot w:val="009354CD"/>
    <w:rsid w:val="00015F9B"/>
    <w:rsid w:val="000628EF"/>
    <w:rsid w:val="00070CDD"/>
    <w:rsid w:val="00080810"/>
    <w:rsid w:val="0008774F"/>
    <w:rsid w:val="000901A6"/>
    <w:rsid w:val="00144B26"/>
    <w:rsid w:val="002B4862"/>
    <w:rsid w:val="002C2D79"/>
    <w:rsid w:val="003537CF"/>
    <w:rsid w:val="00397BC1"/>
    <w:rsid w:val="003C70E8"/>
    <w:rsid w:val="004A1C42"/>
    <w:rsid w:val="0052227A"/>
    <w:rsid w:val="00567101"/>
    <w:rsid w:val="005E0E53"/>
    <w:rsid w:val="006231AE"/>
    <w:rsid w:val="00664D68"/>
    <w:rsid w:val="00685942"/>
    <w:rsid w:val="006D068E"/>
    <w:rsid w:val="006E2755"/>
    <w:rsid w:val="006F27CB"/>
    <w:rsid w:val="007311AB"/>
    <w:rsid w:val="00752EF9"/>
    <w:rsid w:val="00763DC5"/>
    <w:rsid w:val="0083253F"/>
    <w:rsid w:val="00903C9E"/>
    <w:rsid w:val="009354CD"/>
    <w:rsid w:val="00961DBD"/>
    <w:rsid w:val="0099541F"/>
    <w:rsid w:val="009A4B91"/>
    <w:rsid w:val="00A23CAC"/>
    <w:rsid w:val="00AB0239"/>
    <w:rsid w:val="00AD1186"/>
    <w:rsid w:val="00AE5FB6"/>
    <w:rsid w:val="00B848C3"/>
    <w:rsid w:val="00C73C48"/>
    <w:rsid w:val="00CD4E2B"/>
    <w:rsid w:val="00D01BA6"/>
    <w:rsid w:val="00D0576C"/>
    <w:rsid w:val="00D315F8"/>
    <w:rsid w:val="00E13CD5"/>
    <w:rsid w:val="00E42D40"/>
    <w:rsid w:val="00EC3006"/>
    <w:rsid w:val="00EF3CFE"/>
    <w:rsid w:val="00F510A2"/>
    <w:rsid w:val="00F80611"/>
    <w:rsid w:val="00FD549D"/>
    <w:rsid w:val="02D34703"/>
    <w:rsid w:val="07415E95"/>
    <w:rsid w:val="08714323"/>
    <w:rsid w:val="0A252C31"/>
    <w:rsid w:val="0C8B58BD"/>
    <w:rsid w:val="118533AF"/>
    <w:rsid w:val="12FC26E3"/>
    <w:rsid w:val="14411CF0"/>
    <w:rsid w:val="1572645F"/>
    <w:rsid w:val="1E390765"/>
    <w:rsid w:val="26A32AC6"/>
    <w:rsid w:val="2EC93163"/>
    <w:rsid w:val="36071BCD"/>
    <w:rsid w:val="36361D3A"/>
    <w:rsid w:val="4B5B1874"/>
    <w:rsid w:val="548B24C7"/>
    <w:rsid w:val="58AA33F0"/>
    <w:rsid w:val="5C317114"/>
    <w:rsid w:val="5EF36F56"/>
    <w:rsid w:val="60C34DB9"/>
    <w:rsid w:val="6100180A"/>
    <w:rsid w:val="6D4D259F"/>
    <w:rsid w:val="6E604D11"/>
    <w:rsid w:val="6EF95CF7"/>
    <w:rsid w:val="6FA02C4A"/>
    <w:rsid w:val="7229030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ind w:firstLine="560" w:firstLineChars="200"/>
      <w:jc w:val="both"/>
    </w:pPr>
    <w:rPr>
      <w:rFonts w:ascii="宋体" w:hAnsi="宋体" w:eastAsia="宋体" w:cstheme="minorBidi"/>
      <w:kern w:val="2"/>
      <w:sz w:val="28"/>
      <w:szCs w:val="22"/>
      <w:lang w:val="en-US" w:eastAsia="zh-CN" w:bidi="ar-SA"/>
    </w:rPr>
  </w:style>
  <w:style w:type="paragraph" w:styleId="2">
    <w:name w:val="heading 1"/>
    <w:basedOn w:val="1"/>
    <w:next w:val="1"/>
    <w:link w:val="13"/>
    <w:qFormat/>
    <w:uiPriority w:val="9"/>
    <w:pPr>
      <w:keepNext/>
      <w:keepLines/>
      <w:spacing w:before="340" w:after="330" w:line="578" w:lineRule="auto"/>
      <w:outlineLvl w:val="0"/>
    </w:pPr>
    <w:rPr>
      <w:b/>
      <w:bCs/>
      <w:kern w:val="44"/>
      <w:sz w:val="44"/>
      <w:szCs w:val="44"/>
    </w:rPr>
  </w:style>
  <w:style w:type="paragraph" w:styleId="3">
    <w:name w:val="heading 2"/>
    <w:basedOn w:val="1"/>
    <w:next w:val="1"/>
    <w:link w:val="14"/>
    <w:unhideWhenUsed/>
    <w:qFormat/>
    <w:uiPriority w:val="9"/>
    <w:pPr>
      <w:ind w:firstLine="562"/>
      <w:outlineLvl w:val="1"/>
    </w:pPr>
    <w:rPr>
      <w:b/>
    </w:rPr>
  </w:style>
  <w:style w:type="paragraph" w:styleId="4">
    <w:name w:val="heading 3"/>
    <w:basedOn w:val="1"/>
    <w:next w:val="1"/>
    <w:link w:val="15"/>
    <w:unhideWhenUsed/>
    <w:qFormat/>
    <w:uiPriority w:val="9"/>
    <w:pPr>
      <w:ind w:firstLine="562"/>
      <w:outlineLvl w:val="2"/>
    </w:pPr>
    <w:rPr>
      <w:b/>
    </w:rPr>
  </w:style>
  <w:style w:type="character" w:default="1" w:styleId="9">
    <w:name w:val="Default Paragraph Font"/>
    <w:semiHidden/>
    <w:unhideWhenUsed/>
    <w:qFormat/>
    <w:uiPriority w:val="1"/>
  </w:style>
  <w:style w:type="table" w:default="1" w:styleId="7">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5">
    <w:name w:val="footer"/>
    <w:basedOn w:val="1"/>
    <w:link w:val="11"/>
    <w:unhideWhenUsed/>
    <w:qFormat/>
    <w:uiPriority w:val="99"/>
    <w:pPr>
      <w:tabs>
        <w:tab w:val="center" w:pos="4153"/>
        <w:tab w:val="right" w:pos="8306"/>
      </w:tabs>
      <w:snapToGrid w:val="0"/>
      <w:jc w:val="left"/>
    </w:pPr>
    <w:rPr>
      <w:sz w:val="18"/>
      <w:szCs w:val="18"/>
    </w:rPr>
  </w:style>
  <w:style w:type="paragraph" w:styleId="6">
    <w:name w:val="header"/>
    <w:basedOn w:val="1"/>
    <w:link w:val="10"/>
    <w:unhideWhenUsed/>
    <w:uiPriority w:val="99"/>
    <w:pPr>
      <w:pBdr>
        <w:bottom w:val="single" w:color="auto" w:sz="6" w:space="1"/>
      </w:pBdr>
      <w:tabs>
        <w:tab w:val="center" w:pos="4153"/>
        <w:tab w:val="right" w:pos="8306"/>
      </w:tabs>
      <w:snapToGrid w:val="0"/>
      <w:jc w:val="center"/>
    </w:pPr>
    <w:rPr>
      <w:sz w:val="18"/>
      <w:szCs w:val="18"/>
    </w:rPr>
  </w:style>
  <w:style w:type="table" w:styleId="8">
    <w:name w:val="Table Grid"/>
    <w:basedOn w:val="7"/>
    <w:qFormat/>
    <w:uiPriority w:val="3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tcPr>
      <w:tcBorders>
        <w:top w:val="single" w:color="000000" w:sz="4" w:space="0"/>
        <w:left w:val="single" w:color="000000" w:sz="4" w:space="0"/>
        <w:bottom w:val="single" w:color="000000" w:sz="4" w:space="0"/>
        <w:right w:val="single" w:color="000000" w:sz="4" w:space="0"/>
      </w:tcBorders>
    </w:tcPr>
  </w:style>
  <w:style w:type="character" w:customStyle="1" w:styleId="10">
    <w:name w:val="页眉 字符"/>
    <w:basedOn w:val="9"/>
    <w:link w:val="6"/>
    <w:qFormat/>
    <w:uiPriority w:val="99"/>
    <w:rPr>
      <w:sz w:val="18"/>
      <w:szCs w:val="18"/>
    </w:rPr>
  </w:style>
  <w:style w:type="character" w:customStyle="1" w:styleId="11">
    <w:name w:val="页脚 字符"/>
    <w:basedOn w:val="9"/>
    <w:link w:val="5"/>
    <w:qFormat/>
    <w:uiPriority w:val="99"/>
    <w:rPr>
      <w:sz w:val="18"/>
      <w:szCs w:val="18"/>
    </w:rPr>
  </w:style>
  <w:style w:type="paragraph" w:styleId="12">
    <w:name w:val="List Paragraph"/>
    <w:basedOn w:val="1"/>
    <w:qFormat/>
    <w:uiPriority w:val="34"/>
    <w:pPr>
      <w:ind w:firstLine="420"/>
    </w:pPr>
  </w:style>
  <w:style w:type="character" w:customStyle="1" w:styleId="13">
    <w:name w:val="标题 1 字符"/>
    <w:basedOn w:val="9"/>
    <w:link w:val="2"/>
    <w:qFormat/>
    <w:uiPriority w:val="9"/>
    <w:rPr>
      <w:b/>
      <w:bCs/>
      <w:kern w:val="44"/>
      <w:sz w:val="44"/>
      <w:szCs w:val="44"/>
    </w:rPr>
  </w:style>
  <w:style w:type="character" w:customStyle="1" w:styleId="14">
    <w:name w:val="标题 2 字符"/>
    <w:basedOn w:val="9"/>
    <w:link w:val="3"/>
    <w:uiPriority w:val="9"/>
    <w:rPr>
      <w:rFonts w:ascii="宋体" w:hAnsi="宋体" w:eastAsia="宋体"/>
      <w:b/>
      <w:sz w:val="28"/>
    </w:rPr>
  </w:style>
  <w:style w:type="character" w:customStyle="1" w:styleId="15">
    <w:name w:val="标题 3 字符"/>
    <w:basedOn w:val="9"/>
    <w:link w:val="4"/>
    <w:qFormat/>
    <w:uiPriority w:val="9"/>
    <w:rPr>
      <w:rFonts w:ascii="宋体" w:hAnsi="宋体" w:eastAsia="宋体"/>
      <w:b/>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3.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5569</Words>
  <Characters>5698</Characters>
  <Lines>33</Lines>
  <Paragraphs>9</Paragraphs>
  <TotalTime>9</TotalTime>
  <ScaleCrop>false</ScaleCrop>
  <LinksUpToDate>false</LinksUpToDate>
  <CharactersWithSpaces>5711</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2024-05-27T05:34:00Z</dcterms:created>
  <dc:creator>Administrator</dc:creator>
  <cp:lastModifiedBy>Administrator</cp:lastModifiedBy>
  <dcterms:modified xsi:type="dcterms:W3CDTF">2024-12-24T01:38:12Z</dcterms:modified>
  <cp:revision>31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E45FC052F09544B4824EF79171F2171B_13</vt:lpwstr>
  </property>
</Properties>
</file>