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ascii="方正公文小标宋" w:eastAsia="方正公文小标宋"/>
          <w:b w:val="0"/>
          <w:sz w:val="84"/>
          <w:szCs w:val="84"/>
          <w:lang w:eastAsia="zh-CN"/>
        </w:rPr>
      </w:pPr>
    </w:p>
    <w:p>
      <w:pPr>
        <w:pStyle w:val="2"/>
        <w:jc w:val="left"/>
        <w:rPr>
          <w:rFonts w:ascii="方正公文小标宋" w:eastAsia="方正公文小标宋"/>
          <w:b w:val="0"/>
          <w:sz w:val="84"/>
          <w:szCs w:val="84"/>
          <w:lang w:eastAsia="zh-CN"/>
        </w:rPr>
      </w:pPr>
    </w:p>
    <w:p>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八里甸子镇履行职责事项清单</w:t>
      </w:r>
    </w:p>
    <w:p>
      <w:pPr>
        <w:rPr>
          <w:rFonts w:ascii="方正公文小标宋" w:eastAsia="方正公文小标宋"/>
          <w:sz w:val="84"/>
          <w:szCs w:val="84"/>
          <w:lang w:eastAsia="zh-CN"/>
        </w:rPr>
      </w:pPr>
    </w:p>
    <w:p>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63517"/>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pPr>
                <w:rPr>
                  <w:rFonts w:hint="eastAsia" w:eastAsiaTheme="minorEastAsia"/>
                  <w:lang w:val="zh-CN" w:eastAsia="zh-CN"/>
                </w:rPr>
              </w:pPr>
            </w:p>
            <w:p>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.............................................................................................................................49</w:t>
              </w:r>
            </w:p>
          </w:sdtContent>
        </w:sdt>
      </w:sdtContent>
    </w:sdt>
    <w:p>
      <w:pPr>
        <w:pStyle w:val="2"/>
        <w:jc w:val="both"/>
        <w:rPr>
          <w:rFonts w:ascii="Times New Roman" w:hAnsi="Times New Roman" w:eastAsia="方正小标宋_GBK" w:cs="Times New Roman"/>
          <w:color w:val="auto"/>
          <w:spacing w:val="7"/>
          <w:sz w:val="44"/>
          <w:szCs w:val="44"/>
          <w:lang w:eastAsia="zh-CN"/>
        </w:rPr>
      </w:pPr>
    </w:p>
    <w:p>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72077416"/>
      <w:bookmarkStart w:id="2" w:name="_Toc172533652"/>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依托大雅河抽水蓄能电站和本桓高速等重点项目，推动山水观光、民宿康养、交通物流、苗木种植等领域发展，着力打造大雅河文旅观光、物流集散、新型绿色资源小镇等特色项目</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做好本桓高速建设项目服务工作，为游览中华枫叶之路提供便捷、安全的交通条件，打造自然观光新路线</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五、乡村振兴（20项）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六、生态环保（12项）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做好大雅河抽水蓄能电站项目和苍龙山抽水蓄能电站项目的建设服务工作，打造清洁、绿色、低碳、灵活、具有公共调节能力的新能源</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七、城乡建设（7项）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依托统一抗战联合会议旧址等红色遗址遗迹，开发建设八里甸子镇红色文化遗址观光和柏瀑沟红色教育基地</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负责镇本级及村财务管理工作，做好财政预决算、国库集中收付管理、会计核算、财务收支审核、内部审计、财政资金和非税收入管理及财政预算一体化平台工作，加强行政事业性国有资产管理及监督执行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950"/>
      <w:bookmarkStart w:id="5" w:name="_Toc172533653"/>
      <w:bookmarkStart w:id="6" w:name="_Toc172077552"/>
      <w:bookmarkStart w:id="7"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tblPrEx>
          <w:tblCellMar>
            <w:top w:w="0" w:type="dxa"/>
            <w:left w:w="108" w:type="dxa"/>
            <w:bottom w:w="0" w:type="dxa"/>
            <w:right w:w="108" w:type="dxa"/>
          </w:tblCellMar>
        </w:tblPrEx>
        <w:trPr>
          <w:cantSplit/>
          <w:trHeight w:val="13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tblPrEx>
          <w:tblCellMar>
            <w:top w:w="0" w:type="dxa"/>
            <w:left w:w="108" w:type="dxa"/>
            <w:bottom w:w="0" w:type="dxa"/>
            <w:right w:w="108" w:type="dxa"/>
          </w:tblCellMar>
        </w:tblPrEx>
        <w:trPr>
          <w:cantSplit/>
          <w:trHeight w:val="13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tblPrEx>
          <w:tblCellMar>
            <w:top w:w="0" w:type="dxa"/>
            <w:left w:w="108" w:type="dxa"/>
            <w:bottom w:w="0" w:type="dxa"/>
            <w:right w:w="108" w:type="dxa"/>
          </w:tblCellMar>
        </w:tblPrEx>
        <w:trPr>
          <w:cantSplit/>
          <w:trHeight w:val="147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 xml:space="preserve">县教育局 </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tblPrEx>
          <w:tblCellMar>
            <w:top w:w="0" w:type="dxa"/>
            <w:left w:w="108" w:type="dxa"/>
            <w:bottom w:w="0" w:type="dxa"/>
            <w:right w:w="108" w:type="dxa"/>
          </w:tblCellMar>
        </w:tblPrEx>
        <w:trPr>
          <w:cantSplit/>
          <w:trHeight w:val="118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六、自然资源（20项）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tblPrEx>
          <w:tblCellMar>
            <w:top w:w="0" w:type="dxa"/>
            <w:left w:w="108" w:type="dxa"/>
            <w:bottom w:w="0" w:type="dxa"/>
            <w:right w:w="108" w:type="dxa"/>
          </w:tblCellMar>
        </w:tblPrEx>
        <w:trPr>
          <w:cantSplit/>
          <w:trHeight w:val="222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开展湿地保护工作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1.编制湿地保护规划，开展区域内湿地情况调查，加强湿地科普宣教工作；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2.做好湿地监测工作，落实湿地面积管控目标要求，公开湿地保护相关信息；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3.做好对湿地活动的监督和分类指导，依法查处破坏湿地的违法行为。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1.做好区域内湿地情况调查，落实湿地管控目标，为湿地保护规划提供基本资料；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2.配合湿地监测工作，定期对辖区内湿地开展巡护，监测湿地保护、污染情况；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3.做好对湿地活动的监督，对破坏湿地行为提供线索。</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tblPrEx>
          <w:tblCellMar>
            <w:top w:w="0" w:type="dxa"/>
            <w:left w:w="108" w:type="dxa"/>
            <w:bottom w:w="0" w:type="dxa"/>
            <w:right w:w="108" w:type="dxa"/>
          </w:tblCellMar>
        </w:tblPrEx>
        <w:trPr>
          <w:cantSplit/>
          <w:trHeight w:val="259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
</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418"/>
      <w:bookmarkStart w:id="9" w:name="_Toc172533654"/>
      <w:bookmarkStart w:id="10" w:name="_Toc172077553"/>
      <w:bookmarkStart w:id="11" w:name="_Toc17207795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工作方式：负责农机安全生产和隐患排查，对农业机械的登记、检验，检查农机作业安全。组织监管人员深入农机作业、存放等场所，常态化开展隐患排查整治</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重点排查农机安全生产中的重大隐患，防止重大农机事故的发生。</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tblPrEx>
          <w:tblCellMar>
            <w:top w:w="0" w:type="dxa"/>
            <w:left w:w="108" w:type="dxa"/>
            <w:bottom w:w="0" w:type="dxa"/>
            <w:right w:w="108" w:type="dxa"/>
          </w:tblCellMar>
        </w:tblPrEx>
        <w:trPr>
          <w:cantSplit/>
          <w:trHeight w:val="12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tblPrEx>
          <w:tblCellMar>
            <w:top w:w="0" w:type="dxa"/>
            <w:left w:w="108" w:type="dxa"/>
            <w:bottom w:w="0" w:type="dxa"/>
            <w:right w:w="108" w:type="dxa"/>
          </w:tblCellMar>
        </w:tblPrEx>
        <w:trPr>
          <w:cantSplit/>
          <w:trHeight w:val="117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对储备土地按片区分工巡查，记录环境卫生状况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组织人员清理垃圾杂物、平整土地，整治乱堆物料等乱象。定期复查巩固整治成效，营造整洁有序的储备土地环境。</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未经核实或者经核实不符合规划条件的，建设单位不得组织竣工验收</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建设单位应当在竣工验收后六个月内向城乡规划主管部门报送有关竣工验收资料。</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十、应急管理及消防（5项）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pPr>
        <w:pStyle w:val="3"/>
        <w:spacing w:before="0" w:after="0" w:line="240" w:lineRule="auto"/>
        <w:jc w:val="center"/>
        <w:rPr>
          <w:rFonts w:ascii="Times New Roman" w:hAnsi="Times New Roman" w:eastAsia="方正小标宋_GBK" w:cs="Times New Roman"/>
          <w:color w:val="auto"/>
          <w:spacing w:val="7"/>
          <w:lang w:eastAsia="zh-CN"/>
        </w:rPr>
      </w:pPr>
    </w:p>
    <w:p>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103A1037"/>
    <w:rsid w:val="118256F3"/>
    <w:rsid w:val="12C97B29"/>
    <w:rsid w:val="16817C70"/>
    <w:rsid w:val="1ADB42F2"/>
    <w:rsid w:val="3C635378"/>
    <w:rsid w:val="57F46841"/>
    <w:rsid w:val="67EB51BC"/>
    <w:rsid w:val="7A03033C"/>
    <w:rsid w:val="7A5D2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38230</Words>
  <Characters>39639</Characters>
  <Lines>1</Lines>
  <Paragraphs>1</Paragraphs>
  <TotalTime>6</TotalTime>
  <ScaleCrop>false</ScaleCrop>
  <LinksUpToDate>false</LinksUpToDate>
  <CharactersWithSpaces>39792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l</cp:lastModifiedBy>
  <dcterms:modified xsi:type="dcterms:W3CDTF">2025-07-04T04:02:43Z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eyJoZGlkIjoiYmZhNzEzNTM1NTNlMjQzYTE1YzZlMTFhMDQyZjUyZmYiLCJ1c2VySWQiOiI1MjA3MzgyMTIifQ==</vt:lpwstr>
  </property>
  <property fmtid="{D5CDD505-2E9C-101B-9397-08002B2CF9AE}" pid="3" name="KSOProductBuildVer">
    <vt:lpwstr>2052-11.1.0.10314</vt:lpwstr>
  </property>
  <property fmtid="{D5CDD505-2E9C-101B-9397-08002B2CF9AE}" pid="4" name="ICV">
    <vt:lpwstr>0C8AB89687934818943C095DF0E47CF3_12</vt:lpwstr>
  </property>
</Properties>
</file>