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left"/>
        <w:rPr>
          <w:rFonts w:ascii="方正公文小标宋" w:eastAsia="方正公文小标宋"/>
          <w:b w:val="0"/>
          <w:sz w:val="84"/>
          <w:szCs w:val="84"/>
          <w:lang w:eastAsia="zh-CN"/>
        </w:rPr>
      </w:pPr>
    </w:p>
    <w:p>
      <w:pPr>
        <w:pStyle w:val="2"/>
        <w:jc w:val="left"/>
        <w:rPr>
          <w:rFonts w:ascii="方正公文小标宋" w:eastAsia="方正公文小标宋"/>
          <w:b w:val="0"/>
          <w:sz w:val="84"/>
          <w:szCs w:val="84"/>
          <w:lang w:eastAsia="zh-CN"/>
        </w:rPr>
      </w:pPr>
    </w:p>
    <w:p>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北甸子乡履行职责事项清单</w:t>
      </w:r>
    </w:p>
    <w:p>
      <w:pPr>
        <w:rPr>
          <w:rFonts w:ascii="方正公文小标宋" w:eastAsia="方正公文小标宋"/>
          <w:sz w:val="84"/>
          <w:szCs w:val="84"/>
          <w:lang w:eastAsia="zh-CN"/>
        </w:rPr>
      </w:pPr>
    </w:p>
    <w:p>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hAnsi="Times New Roman" w:eastAsia="Arial" w:cs="Times New Roman"/>
          <w:snapToGrid w:val="0"/>
          <w:color w:val="000000"/>
          <w:sz w:val="21"/>
          <w:szCs w:val="21"/>
          <w:lang w:val="zh-CN" w:eastAsia="en-US"/>
        </w:rPr>
        <w:id w:val="1172384030"/>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sdt>
          <w:sdtPr>
            <w:rPr>
              <w:rFonts w:ascii="Times New Roman" w:hAnsi="Times New Roman" w:eastAsia="Arial" w:cs="Times New Roman"/>
              <w:snapToGrid w:val="0"/>
              <w:color w:val="000000"/>
              <w:sz w:val="21"/>
              <w:szCs w:val="21"/>
              <w:lang w:val="zh-CN" w:eastAsia="en-US"/>
            </w:rPr>
            <w:id w:val="147469406"/>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p>
              <w:pPr>
                <w:pStyle w:val="19"/>
                <w:jc w:val="center"/>
                <w:rPr>
                  <w:rFonts w:ascii="Times New Roman" w:hAnsi="Times New Roman" w:eastAsia="方正公文小标宋" w:cs="Times New Roman"/>
                  <w:color w:val="auto"/>
                  <w:sz w:val="44"/>
                  <w:szCs w:val="44"/>
                  <w:lang w:val="zh-CN"/>
                </w:rPr>
              </w:pPr>
              <w:r>
                <w:rPr>
                  <w:rFonts w:ascii="Times New Roman" w:hAnsi="Times New Roman" w:eastAsia="方正公文小标宋" w:cs="Times New Roman"/>
                  <w:color w:val="auto"/>
                  <w:sz w:val="44"/>
                  <w:szCs w:val="44"/>
                  <w:lang w:val="zh-CN"/>
                </w:rPr>
                <w:t>目</w:t>
              </w:r>
              <w:r>
                <w:rPr>
                  <w:rFonts w:hint="eastAsia" w:ascii="Times New Roman" w:hAnsi="Times New Roman" w:eastAsia="方正公文小标宋" w:cs="Times New Roman"/>
                  <w:color w:val="auto"/>
                  <w:sz w:val="44"/>
                  <w:szCs w:val="44"/>
                  <w:lang w:val="zh-CN"/>
                </w:rPr>
                <w:t xml:space="preserve">  </w:t>
              </w:r>
              <w:r>
                <w:rPr>
                  <w:rFonts w:ascii="Times New Roman" w:hAnsi="Times New Roman" w:eastAsia="方正公文小标宋" w:cs="Times New Roman"/>
                  <w:color w:val="auto"/>
                  <w:sz w:val="44"/>
                  <w:szCs w:val="44"/>
                  <w:lang w:val="zh-CN"/>
                </w:rPr>
                <w:t>录</w:t>
              </w:r>
            </w:p>
            <w:p>
              <w:pPr>
                <w:rPr>
                  <w:rFonts w:hint="eastAsia" w:eastAsiaTheme="minorEastAsia"/>
                  <w:lang w:val="zh-CN" w:eastAsia="zh-CN"/>
                </w:rPr>
              </w:pPr>
            </w:p>
            <w:p>
              <w:pPr>
                <w:pStyle w:val="7"/>
                <w:rPr>
                  <w:rFonts w:cs="Times New Roman" w:eastAsiaTheme="minorEastAsia"/>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r>
                <w:fldChar w:fldCharType="begin"/>
              </w:r>
              <w:r>
                <w:instrText xml:space="preserve"> HYPERLINK \l "_Toc172533652" </w:instrText>
              </w:r>
              <w:r>
                <w:fldChar w:fldCharType="separate"/>
              </w:r>
              <w:r>
                <w:rPr>
                  <w:rStyle w:val="11"/>
                  <w:rFonts w:eastAsia="方正公文小标宋" w:cs="Times New Roman"/>
                  <w:lang w:eastAsia="zh-CN"/>
                </w:rPr>
                <w:t>基本</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w:t>
              </w:r>
            </w:p>
            <w:p>
              <w:pPr>
                <w:pStyle w:val="7"/>
                <w:rPr>
                  <w:rFonts w:cs="Times New Roman" w:eastAsiaTheme="minorEastAsia"/>
                  <w:snapToGrid/>
                  <w:color w:val="auto"/>
                  <w:kern w:val="2"/>
                  <w:sz w:val="21"/>
                  <w:szCs w:val="22"/>
                  <w:lang w:eastAsia="zh-CN"/>
                </w:rPr>
              </w:pPr>
              <w:r>
                <w:fldChar w:fldCharType="begin"/>
              </w:r>
              <w:r>
                <w:instrText xml:space="preserve"> HYPERLINK \l "_Toc172533653" </w:instrText>
              </w:r>
              <w:r>
                <w:fldChar w:fldCharType="separate"/>
              </w:r>
              <w:r>
                <w:rPr>
                  <w:rStyle w:val="11"/>
                  <w:rFonts w:eastAsia="方正公文小标宋" w:cs="Times New Roman"/>
                  <w:lang w:eastAsia="zh-CN"/>
                </w:rPr>
                <w:t>配合</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.....................................................................................................................................14</w:t>
              </w:r>
            </w:p>
            <w:p>
              <w:pPr>
                <w:pStyle w:val="7"/>
                <w:rPr>
                  <w:rFonts w:cs="Times New Roman"/>
                  <w:b/>
                  <w:bCs/>
                  <w:lang w:val="zh-CN"/>
                </w:rPr>
              </w:pPr>
              <w:r>
                <w:fldChar w:fldCharType="begin"/>
              </w:r>
              <w:r>
                <w:instrText xml:space="preserve"> HYPERLINK \l "_Toc172533654" </w:instrText>
              </w:r>
              <w:r>
                <w:fldChar w:fldCharType="separate"/>
              </w:r>
              <w:r>
                <w:rPr>
                  <w:rStyle w:val="11"/>
                  <w:rFonts w:hint="eastAsia" w:eastAsia="方正公文小标宋" w:cs="Times New Roman"/>
                  <w:lang w:eastAsia="zh-CN"/>
                </w:rPr>
                <w:t>上级部门收回事项清单</w:t>
              </w:r>
              <w:r>
                <w:rPr>
                  <w:rStyle w:val="11"/>
                  <w:rFonts w:hint="eastAsia" w:eastAsia="方正公文小标宋" w:cs="Times New Roman"/>
                  <w:lang w:eastAsia="zh-CN"/>
                </w:rPr>
                <w:fldChar w:fldCharType="end"/>
              </w:r>
              <w:r>
                <w:rPr>
                  <w:rFonts w:cs="Times New Roman"/>
                  <w:szCs w:val="32"/>
                </w:rPr>
                <w:fldChar w:fldCharType="end"/>
              </w:r>
              <w:r>
                <w:rPr>
                  <w:rFonts w:hint="eastAsia" w:cs="Times New Roman"/>
                  <w:szCs w:val="32"/>
                  <w:lang w:val="en-US" w:eastAsia="zh-CN"/>
                </w:rPr>
                <w:t>.............................................................................................................................48</w:t>
              </w:r>
            </w:p>
          </w:sdtContent>
        </w:sdt>
      </w:sdtContent>
    </w:sdt>
    <w:p>
      <w:pPr>
        <w:pStyle w:val="2"/>
        <w:jc w:val="both"/>
        <w:rPr>
          <w:rFonts w:ascii="Times New Roman" w:hAnsi="Times New Roman" w:eastAsia="方正小标宋_GBK" w:cs="Times New Roman"/>
          <w:color w:val="auto"/>
          <w:spacing w:val="7"/>
          <w:sz w:val="44"/>
          <w:szCs w:val="44"/>
          <w:lang w:eastAsia="zh-CN"/>
        </w:rPr>
      </w:pPr>
    </w:p>
    <w:p>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949"/>
      <w:bookmarkStart w:id="1" w:name="_Toc172077416"/>
      <w:bookmarkStart w:id="2" w:name="_Toc172533652"/>
      <w:bookmarkStart w:id="3" w:name="_Toc172077551"/>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lang w:bidi="ar"/>
              </w:rPr>
              <w:t>权责清单</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落实党建引领基层治理工作，推行村网格化服务管理，抓好农村基层党建“一抓两整三全面”专项行动，开展“党群共同致富”活动，督促村党组织开展领办创办合作社，助推村集体经济发展和农民致富增收</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负责乡机关干部教育、培训、选拔、考核、管理和监督工作，抓好年轻干部储备、管理和培养</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负责派驻乡干部管理工作，抓好驻村干部履职的管理和服务保障，做好驻村工作队巩固脱贫攻坚成果的日常、年终考核工作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乡、村两级监督体系建设，发现、处理群众身边的腐败问题和不正之风，按权限分类处置举报和问题线索、研究决定党员和监察对象处分，受理党员的控告和申诉，落实“阳光三务”公示公开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落实加强社会主义精神文明建设工作要求，抓好社会主义核心价值观和新时代爱国主义宣传教育，开展先进典型推荐及学习宣传工作，建设和管理新时代文明实践所（站），开展新时代文明实践活动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做好人大换届选举工作，组织召开人民代表大会，履行乡人大主席团职责，依法开展审查、监督，组织人大代表视察和评议工作，办理人大代表议案和建议，推动人大代表之家（室）建设，服务保障人大代表履职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三、民生服务（19项）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复审等工作，补领、换领独生子女父母光荣证，开展计划生育各类补贴的信息采集、数据上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乡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负责人民建议征集工作，承办职责范围内的12345政务服务便民热线、人民网、市长信箱、县长信箱、行风热线等社情民意平台诉求事项，做好答复和回访工作</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五、乡村振兴（22项）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落实耕地保护政策，推动土地监管网格化日常巡查，强化耕地用途管制，遏制耕地“非农化”，严控耕地“非粮化”，发现违法行为及时制止并上报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开展农业技术推广、培训、服务指导工作，做好黑土地保护性耕作项目，对农户施肥进行监测调查，促进农业机械化发展</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负责农村饮水工程项目申报及农村饮水安全管理、维修养护以及水源地保护工作，排查村级供水情况，推动解决农村饮水问题</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做好乡本级路灯、农村垃圾池等基础设施建设和管理工作，负责协调组织申请对村级道路及桥梁、河堤护岸、农田灌溉等基础设施的维护</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依托生态资源优势，做精做优农业特色产业，大力发展林下参、中小药材种植及加工产业</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以打造“黄金冰谷小镇”为目标，稳定冰葡萄产业种植面积，做大做强张裕冰酒酒庄等冰酒企业</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六、生态环保（12项）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负责对生态环保的信访举报、重点问题反馈、视频曝光通报进行核实，做好涉及乡、村层面生态环境保护问题的整改工作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落实河长制，组织河长开展巡河工作，对发现的问题及时处理或制止，不能处理或制止无效的上报，做好村级水管员（库管员）招聘、培训、监管和考核工作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开展卫片图斑核查工作，排查非法占用宅基地、河滩地、林地、耕地、荒地情况，受理群众的举报和投诉，对非法占用行为及时制止并上报，负责对私搭乱建、乱堆乱放进行整改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开展乡、村垃圾治理和分类的宣传引导工作，加强对公共场所、公路、乡村道路、田间的巡查检查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负责本辖区内桓仁水库及浑江输水河道一级保护区围网（围栏）外，及道路两边应急渠和应急池内的垃圾监管和清理工作</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七、城乡建设（7项）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乡村国土空间规划及城镇开发边界外乡村地区的“多规合一”实用性村庄规划并执行，突出民族文化特色、自然景观与建设协调发展，协商确定规划内容，负责对乡、村庄规划区内违反城乡规划行为进行制止和上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负责建成区污水处理设施及配套管网的管理维护，做好污水处理设施运行管理工作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八、文化和旅游（6项）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制定文旅产业发展规划，推进文体旅融合发展，打造乡村旅游示范点，积极申报乡村旅游重点村等品牌，负责管理权限内乡村旅游服务设施的管理和维护</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推进政务服务标准化、规范化、便利化，做好各类政务平台的使用，抓好数字政府建设，完善乡综合指挥调度体系</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负责乡本级及村财务管理工作，做好财政预决算、国库集中收付管理、会计核算、财务收支审核、内部审计、财政资金和非税收入管理及财政预算一体化平台工作，加强行政事业性国有资产管理及监督执行</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533653"/>
      <w:bookmarkStart w:id="5" w:name="_Toc172077552"/>
      <w:bookmarkStart w:id="6" w:name="_Toc172077950"/>
      <w:bookmarkStart w:id="7" w:name="_Toc172077417"/>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Times New Roman" w:hAnsi="Times New Roman" w:eastAsia="方正公文黑体"/>
              </w:rPr>
            </w:pPr>
            <w:r>
              <w:rPr>
                <w:rFonts w:ascii="Times New Roman" w:hAnsi="Times New Roman" w:eastAsia="方正公文黑体"/>
                <w:color w:val="auto"/>
                <w:lang w:bidi="ar"/>
              </w:rPr>
              <w:t>乡配合职责</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tblPrEx>
          <w:tblCellMar>
            <w:top w:w="0" w:type="dxa"/>
            <w:left w:w="108" w:type="dxa"/>
            <w:bottom w:w="0" w:type="dxa"/>
            <w:right w:w="108" w:type="dxa"/>
          </w:tblCellMar>
        </w:tblPrEx>
        <w:trPr>
          <w:cantSplit/>
          <w:trHeight w:val="137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tblPrEx>
          <w:tblCellMar>
            <w:top w:w="0" w:type="dxa"/>
            <w:left w:w="108" w:type="dxa"/>
            <w:bottom w:w="0" w:type="dxa"/>
            <w:right w:w="108" w:type="dxa"/>
          </w:tblCellMar>
        </w:tblPrEx>
        <w:trPr>
          <w:cantSplit/>
          <w:trHeight w:val="122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三、民生服务（30项）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1.市社保中心桓仁县分中心负责比对低保、特困、重残等人员增减变动数据和参保人员数据，确定需要政府代缴人员名单，报送至县人力资源社会保障局；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2.配合县教育局等部门协调第三方做好餐余废弃物运输处理工作。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开展移交安置工作和无军籍职工服务管理工作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1.了解退役军人安置需求并上报，帮助退役军人办理落户手续；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3.协助做好烈士寻亲工作。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1.为乡民政服务站提供办公、服务场所和必要办公条件；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2.对乡民政服务站驻站人员进行监管，协调、指导驻站人员完成各项任务。</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1.开展本行政区域界线的勘定和定期联检，配合开展界线界桩巡查管护工作，负责域内行政区划变更调整和乡政府驻地迁移的申报，参与县乡两级行政区域边界争议的调查和调处；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1.县卫生健康局组织专业机构对病媒生物预防控制效果进行评估，建立病媒生物监测网络，组织实施病媒生物种群分布、密度和抗药性监测，负责县城区内“四害”消杀及指导工作；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2.县农业农村局负责农田灭鼠，指导乡镇开展消杀工作。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4.提前告知村民消杀事宜，做好家庭及个人防护。</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tblPrEx>
          <w:tblCellMar>
            <w:top w:w="0" w:type="dxa"/>
            <w:left w:w="108" w:type="dxa"/>
            <w:bottom w:w="0" w:type="dxa"/>
            <w:right w:w="108" w:type="dxa"/>
          </w:tblCellMar>
        </w:tblPrEx>
        <w:trPr>
          <w:cantSplit/>
          <w:trHeight w:val="147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1.全面了解全县人口、资源、环境、经济社会发展、人群健康素养和疾病负担情况，分析全县存在的主要健康问题，明确需要优先干预的问题和领域；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2.组织村民参加慢性病义诊活动。</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3.配合疾控专业机构开展传染病防治、地方病防治、公共卫生和预防接种相关工作；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1.负责协助项目服务对象完成申请与相关材料的收集，组织村与服务机构进行工作衔接，负责项目实施过程档案相应内容的审核确认，负责辖区内服务对象的回访；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5.对适老化改造对象进行回访。</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负责本乡“全国儿童福利信息系统”中各类服务对象和工作人员信息录入、业务办理、数据统计和动态更新等工作。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帮助村民办理基本医疗保险参保登记、信息变更及咨询查询工作。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1.做好对享受补助残疾人资格审核，材料申报工作;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1.负责残疾人证申办受理、核发管理工作；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3.负责组织开展困难残疾人家庭无障碍改造，残疾人实用技术培训、职业技能培训等工作；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4.组织开展残疾人康复服务工作，对基本康复服务名单认定，对14周岁以下残疾儿童康复救助名单上报。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1.组织残疾人做好证件的材料收集、上报并公示；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3.提供困难残疾人家庭无障碍改造信息并做好回访；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4.对需要基本康复服务的困难残疾人身份进行核实并上报；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5.对14周岁以下残疾儿童康复救助需求调查，录入“一卡通”系统。</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四、平安法治（3项）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1.乡建立公共法律服务工作站，村建立公共法律服务工作室，配合提供引导法律援助、公证、司法鉴定等公共法律服务；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2.做好基层法律服务站点场所保障，对“四个重大”问题提出法律意见需求。</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2.县司法局负责校园周边安全治理法治宣传教育工作；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公安局负责对学校及其周边的巡逻，对校园周边出租房屋、宾馆酒店等重点场所清理整治，配合清理校园周边各类违规培训班、托管班；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3.配合项目验收及公示工作。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4.做好农机驾驶员驾驶证考核工作及做好农机驾驶证有效期满换证工作；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5.做好办理农机号牌登记工作及做好农业机械因转移、抵押、注销等变更登记工作；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6.做好农业机械事故处理工作；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7.做好农机禁用及报废车辆清理工作；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8.春秋两季农机车辆路检路查工作。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做好农机购置、应用与报废补贴工作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1.组织实施农机购置、应用与报废补贴工作，公布农机购置、应用与报废补贴范围和标准；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2.对申报的农机购置、应用与报废补贴材料进行审核；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3.建立农机购置、应用与报废补贴监督检查机制和管理制度，开展核实工作。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2.负责农机购置、应用与报废补贴的受理、核验以及公示工作；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3.报送农机购置、应用与报废补贴信息材料。</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tblPrEx>
          <w:tblCellMar>
            <w:top w:w="0" w:type="dxa"/>
            <w:left w:w="108" w:type="dxa"/>
            <w:bottom w:w="0" w:type="dxa"/>
            <w:right w:w="108" w:type="dxa"/>
          </w:tblCellMar>
        </w:tblPrEx>
        <w:trPr>
          <w:cantSplit/>
          <w:trHeight w:val="1395"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tblPrEx>
          <w:tblCellMar>
            <w:top w:w="0" w:type="dxa"/>
            <w:left w:w="108" w:type="dxa"/>
            <w:bottom w:w="0" w:type="dxa"/>
            <w:right w:w="108" w:type="dxa"/>
          </w:tblCellMar>
        </w:tblPrEx>
        <w:trPr>
          <w:cantSplit/>
          <w:trHeight w:val="143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2.本溪市桓仁生态环境分局负责开展农药包装废弃物回收处理的宣传、教育和指导，负责农膜回收、再利用过程和农药包装废弃物回收处理活动环境污染防治的监督管理；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2.开展日常巡查，重点关注自备水源井，发现违法行为及时制止并上报；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1.县自然资源局负责耕地及基本农田保护监管工作，确认耕地和基本农田数量，按照有关规定严格控制各类建设占用一般耕地及基本农田情况，实行动态监测管理；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2.县自然资源局、县农业农村局根据职责分别负责违法用地调查工作，防止违建别墅、“大棚房”、乱占耕地行为反弹，对发现的侵占、破坏耕地和基本农田等违法行为进行查处与整改。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落实耕地网格化管理及区块责任人制度，定期开展巡查，定期排查违建别墅、“大棚房”、乱占耕地建房等行为，发现破坏耕地违法行为及时制止并上报，配合开展整改和查处。</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1.编制本行政区域的土地调查实施方案，并组织实施土地调查工作；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2.加强对承担土地调查任务单位的监管；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3.逐级依次公布本行政区域的土地调查成果；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4.做好土地调查成果的保存、管理、开发、应用和为社会公众提供服务等工作。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1.广泛动员和组织社会力量积极参与土地调查工作；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 配合调查队伍开展实地调查工作，提供必要的工作条件和帮助。</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1.按土地复垦方案和复垦标准，负责组织农业、林业、生态环境等部门专家进行现场踏勘；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1.组织实施本乡林业科技推广规划，做好林业实用技术、高新技术以及新品种的推广工作；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1.组织编制乡森林经营方案；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七、生态环保（7项）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5.县市场监管局会同桓仁生态环境分局对锅炉生产、进口、销售和使用环节执行环境保护标准或者要求的情况进行监督检查。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2.组织开展入河排污口监督、检查，督促责任主体做好规范整治工作；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1.负责权属范围内农村污水处理设施的建设、运行维护，确保设施稳定运行；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2.负责开展入河排污口调查、规范整治（除工业排污口、规模化畜禽养殖排污口和水产养殖排污口外）等工作；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4.县住房城乡建设局负责二棚甸子镇、木盂子管委会污水厂运行的监督管理；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5.县交通运输局负责在饮用水水源保护区内的县乡公路设置交通警示标志牌，在穿越饮用水水源保护区的交通道路建设防撞护栏、事故导流槽、应急池，并加强管理；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2.开展水源保护区风险源排查整治工作，进行日常巡查，并做好记录，发现问题及时上报，并协助做好整治方案实施相关工作；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3.开展农村集中式饮用水水源保护排查，发现问题及时上报。</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八、城乡建设（5项）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2.指导乡镇做好村镇建设规划和方案；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农村公路新改建、维修改造工程，建立完善农村公路应急预案，指导农村公路防灾及突发事件处置等工作，负责对农村公路日常养护工作进行业务指导，制定完善农村公路养护巡查、养护维修、安全生产、检查考评等相关制度并实施监督检查，组织开展农村公路路政执法及路域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2.县财政局负责“一事一议”财政奖补村内道路建设项目相关工作。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4.县应急局负责非煤矿山、危险化学品和监管范围内规上企业燃气安全综合监管工作；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5.县市场监管局负责燃气生产环节的产品质量、计量监管、压力管道制造等环节的安全监察，负责燃气流通环节的商品质量的监管；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4.对历史文化名镇名村、历史文化街区、传统村落、历史建筑进行保护、修缮。</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7.组织填报农村危房改造信息系统；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8.组织开展农村房屋安全隐患排查整治等工作。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2.按照鉴定结果，做好村评议、乡审核等工作；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1.保障乡文化场所免费开放；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十、应急管理及消防（13项）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4.本溪市桓仁生态环境分局负责灾区环境应急信息通报和应急预警工作；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2.组建乡抢险救援力量，组织开展日常演练，做好人防、物防、技防等准备工作；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灾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1.组织开展安全生产知识普及，按照乡综合应急预案组织开展演练；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1.县应急局依据授权或委托组织成立事故调查组，进行事故调查，查明事故性质，认定事故责任，总结事故教训，提出整改措施，并对事故责任者依法追究责任；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1.按照乡综合应急预案，开展消防演练；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1.根据消防安全专项整治方案要求，对涉及乡内容开展工作；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
</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3.县公安局依据权限对物业是否履行电动自行车入户、飞线充电等劝阻行为进行监督检查。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4.协助上级部门督促有关单位及个人履行电动自行车消防安全责任。</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做好水上安全管理工作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水上交通安全管理工作，对通航水域船舶、浮动设施、船员和通航安全环境进行监督检查，发现内河交通安全隐患时，责令有关单位和个人立即消除或者限期消除，有关单位和个人不立即消除或者逾期不消除的，采取责令其临时停航、停止作业，禁止进港、离港等强制性措施，对渡口水域水上交通事故进行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2.各行业主管部门建立健全和落实水上交通安全管理责任制度，依法查处“三无”船舶。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1.建立、健全行政村和船主的船舶安全责任制；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2.落实渡口船舶、船员、旅客定额的安全管理责任制；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3.落实船舶水上交通安全管理的专门人员；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4.督促船舶所有人、经营人和船员遵守有关内河交通安全的法律法规和规章；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5.做好重点水域冰上路口设立安全警示标志，做好冬季冰面入江口封堵工作，开展冬季冰上安全日常巡查。</w:t>
            </w:r>
          </w:p>
        </w:tc>
      </w:tr>
      <w:tr>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1.组织乡、村包保干部督导企业（高风险企业每年不少于两次、低风险企业每年不少于一次）；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县住房城乡建设局（县综合执法局）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1.县市场监管局负责监督食品摊贩日常经营活动，对日常排查的风险隐患、上报的问题进行核查处置；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2.县住房城乡建设局（县综合执法局）负责划定县城内的食品摊贩经营固定区域。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1.划定乡食品摊贩经营固定区域；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951"/>
      <w:bookmarkStart w:id="9" w:name="_Toc172077418"/>
      <w:bookmarkStart w:id="10" w:name="_Toc172077553"/>
      <w:bookmarkStart w:id="11" w:name="_Toc172533654"/>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工作方式：对挪用、侵占、哄抢、私分和破坏集体资产的违规行为进行调查，责令退回资产，赔偿损失，没收非法所得，并对有关责任人处以罚款。</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二、民生服务（10项）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工作方式：县妇幼中心利用线上预约等方式，登记需求信息，免费向已婚育龄夫妻提供避孕药具</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通过设立固定发放点及社区卫生服务中心进行按需发放，并提供使用指导和随访服务。</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承接部门：县计划生育协会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工作方式：组织确认违规领取行为，收集违规领取人员信息，核算违规领取时间及金额，下发并送达追缴通知书，进行资金追缴。</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三、平安法治（4项）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清理整治不规范地名工作的统筹协调、业务指导和督促检查职责；做好居民区、大型建筑物、城镇道路、街巷不规范地名清理整治，确定不规范地名清理整治清单，进行标准化处理；健全完善地名管理制度机制。</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工作方式：对地名标准名称、罗马字母拼写、位置标注、地名类别、隶属关系等基本信息进行审核、复核、更新。</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四、乡村振兴（8项）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工作方式：调查疫情基本情况，发病动物群体特征等，对动物疫病状况进行风险评估，根据评估和调查结果，采取相应的防控措施。</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工作方式：负责农机安全生产和隐患排查，对农业机械的登记、检验，检查农机作业安全。组织监管人员深入农机作业、存放等场所，常态化开展隐患排查整治</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重点排查农机安全生产中的重大隐患，防止重大农机事故的发生。</w:t>
            </w:r>
          </w:p>
        </w:tc>
      </w:tr>
      <w:tr>
        <w:tblPrEx>
          <w:tblCellMar>
            <w:top w:w="0" w:type="dxa"/>
            <w:left w:w="108" w:type="dxa"/>
            <w:bottom w:w="0" w:type="dxa"/>
            <w:right w:w="108" w:type="dxa"/>
          </w:tblCellMar>
        </w:tblPrEx>
        <w:trPr>
          <w:cantSplit/>
          <w:trHeight w:val="162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工作方式：组织相关部门收集在江河、湖泊、水库等水域发现的死亡畜禽，按照《病死及病害动物无害化处理技术规范》要求进行无害化处理，优先采用化制等方法，不具备条件的地方可采用深埋法处理</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采用深埋法的，要严格按照规范合理选址、规范操作，防止污染水源和环境。</w:t>
            </w:r>
          </w:p>
        </w:tc>
      </w:tr>
      <w:tr>
        <w:tblPrEx>
          <w:tblCellMar>
            <w:top w:w="0" w:type="dxa"/>
            <w:left w:w="108" w:type="dxa"/>
            <w:bottom w:w="0" w:type="dxa"/>
            <w:right w:w="108" w:type="dxa"/>
          </w:tblCellMar>
        </w:tblPrEx>
        <w:trPr>
          <w:cantSplit/>
          <w:trHeight w:val="1329"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各部门加强外来入侵物种防控宣传教育与科学普及，增强公众外来入侵物种防控意识，引导公众依法参与外来入侵物种防控工作，对农田、渔业水域、森林、草原、湿地等区域外来入侵物种进行监督管理。</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工作方式：会同有关部门对农田、渔业水域、森林、草原、湿地等区域对外来物种的种类数量、分布范围、危害程度等情况开展普查工作。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对动物、动物产品按照规定采样、留验、抽检；对染疫或者疑似染疫的动物、动物产品及相关物品进行隔离、查封、扣押和处理，查验检疫证明、检疫标志和畜禽标识等。</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肥料登记管理办法》，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五、社会保障（5项）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承接部门：市医保中心桓仁县分中心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六、自然资源（10项）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工作方式：按照因地制宜的原则对治理区土地恢复、消除地质灾害隐患，改善矿区生态环境，依法履行生态修复监督管理职责，及时协调解决生态修复中存在的问题。</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工作方式：根据森林督查图斑对全县破坏森林资源问题进行核查，组织开展破坏森林资源问题检查，做好森林资源修复利用及更新的全面核实验收工作。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对储备土地按片区分工巡查，记录环境卫生状况</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组织人员清理垃圾杂物、平整土地，整治乱堆物料等乱象。定期复查巩固整治成效，营造整洁有序的储备土地环境。</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工作方式：县自然资源局依法依规对在耕地上非法采砂行为进行监管、查处；县水务局依法依规对河道水面岸线范围内的非法采砂行为进行监管、查处。</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承接部门：县土地征收中心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工作方式：依法履行土地征收征用管理职责，对需要征用的土地进行土地征收报卷工作，对具备供地条件的地块实施供地，及时解决土地征收征用中存在的问题。</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对建设工程是否符合规划条件予以核实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工作方式：按照国务院规定对建设工程是否符合规划条件予以核实</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未经核实或者经核实不符合规划条件的，建设单位不得组织竣工验收</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建设单位应当在竣工验收后六个月内向城乡规划主管部门报送有关竣工验收资料。</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审核地籍调查表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不动产登记申请内容对本宗地籍号及其所在图幅号；土地坐落、权属性质、宗地四至、土地使用者名称；单位所有制性质及其主管部门；法人代表或户主姓名、身份证号码和电话号码；批准用途、实际用途和使用期限；界址调查记录；宗地草图；权属调查和调查员意见；地籍测量记事；地籍调查结果审核等进行现场调查核实。</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对涉嫌违法建设和违法审批的自建房地质灾害处理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工作方式：对于涉嫌违法建设和违法审批的自建房屋引发地质灾害的，责令停止违法行为，并要求其对产生地质灾害隐患进行消除，未能消除的依法查处。</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工作方式：开展代履行植被恢复工作，对拒不恢复植被和林业生产条件或者不符合规定的行为依法组织代为履行，所需费用由违法者承担。</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七、生态环保（3项）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承接部门：本溪市桓仁生态环境分局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在隐患排查过程中，发现隐患问题及时要求并指导企业尽快完成整改</w:t>
            </w:r>
            <w:r>
              <w:rPr>
                <w:rFonts w:hint="eastAsia" w:ascii="Times New Roman" w:hAnsi="方正公文仿宋" w:eastAsia="方正公文仿宋"/>
                <w:kern w:val="0"/>
                <w:szCs w:val="21"/>
                <w:lang w:eastAsia="zh-CN" w:bidi="ar"/>
              </w:rPr>
              <w:t>，</w:t>
            </w:r>
            <w:bookmarkStart w:id="12" w:name="_GoBack"/>
            <w:bookmarkEnd w:id="12"/>
            <w:r>
              <w:rPr>
                <w:rFonts w:hint="eastAsia" w:ascii="Times New Roman" w:hAnsi="方正公文仿宋" w:eastAsia="方正公文仿宋"/>
                <w:kern w:val="0"/>
                <w:szCs w:val="21"/>
                <w:lang w:bidi="ar"/>
              </w:rPr>
              <w:t>严厉打击涉危险废物违法行为，对生态环境造成损坏的违法行为依法予以严惩。</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建设项目环境保护设施竣工验收</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对治污攻坚宣传工作的考核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八、城乡建设（13项）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工作方式：对建设单位或个人，未取得建设工程规划许可证或者未按照建设工程规划许可证的规定进行建设的建筑物、构筑物，根据《中华人民共和国城乡规划法》第六十四条有关规定，进行立案查处。</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工作方式：对建设单位或个人，未经批准或未按照批准进行建设的临时性建筑物、构筑物，根据《中华人民共和国城乡规划法》第六十六条有关规定，进行立案查处。</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工作方式：根据人民法院的行政裁定，由县人民政府组织实施，指定临时建筑物、构筑物和其他设施的审批部门进行拆除。</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对违法占用土地（农用地、建设用地、未利用地）上的建筑物、构建物和其他设施的拆除工作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工作方式：根据人民法院的行政裁定，由县人民政府组织实施，指定相关部门对违法建筑进行拆除。</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工作方式：按照相关房屋安全评估要求，协助第三方鉴定机构组建联合工作组，根据集中摸排情况，及时对疑似危房的房屋进行鉴定。</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工作方式：组织对农村住房进行排查，摸清房屋基本情况，建立农村房屋档案。对初步判定可能存在安全隐患的房屋，聘请专业机构对农村住房安全进行鉴定评定。</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工作方式：组织全面排查自建房屋并输入全国房屋建筑和市政设施调查系统，针对系统内存在隐患的自建房组织或委托第三方进行安全等级鉴定。</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工作方式：统筹土壤普查工作，编制工作方案，开展培训和宣传，做好样点校核、外业调查采样、内业测试化验、数据审核等工作。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工作方式：在乡道、村道出入口科学选址，精准测量后安装限高、限宽设施，设置警示标识，定期巡查维护，实施联动监管，发现损坏及时修复，确保设施安全管用。</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对普通国省干线用地范围内摆摊设点、堆放物品、倾倒垃圾、设置障碍、挖沟引水、利用公路边沟排放污染物等造成公路路面损坏、污染或者影响公路畅通等违法行为的查处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承接部门：县交通运输局、本溪市交通运输综合行政执法队桓仁县路政大队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公路法》《公路安全保护条例》《本溪路政执法队路政管理工作职责》，对普通国省干线用地范围内摆摊设点、堆放物品、倾倒垃圾、设置障碍、挖沟引水、利用公路边沟排放污染物等造成公路路面损坏、污染或者影响公路畅通等违法行为进行查处。</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十、应急管理及消防（6项）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责令立即或限期整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小型水库安全监督和防汛监督管理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工作方式：对小型水库挡水、输水、泄水设施安全运行及隐患排查进行监督检查，对小型水库汛期放水设施、水库水位、库管员报汛等防汛工作进行监督检查。</w:t>
            </w:r>
          </w:p>
        </w:tc>
      </w:tr>
      <w:tr>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pPr>
        <w:pStyle w:val="3"/>
        <w:spacing w:before="0" w:after="0" w:line="240" w:lineRule="auto"/>
        <w:jc w:val="center"/>
        <w:rPr>
          <w:rFonts w:ascii="Times New Roman" w:hAnsi="Times New Roman" w:eastAsia="方正小标宋_GBK" w:cs="Times New Roman"/>
          <w:color w:val="auto"/>
          <w:spacing w:val="7"/>
          <w:lang w:eastAsia="zh-CN"/>
        </w:rPr>
      </w:pPr>
    </w:p>
    <w:p>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仿宋">
    <w:altName w:val="仿宋"/>
    <w:panose1 w:val="02000000000000000000"/>
    <w:charset w:val="86"/>
    <w:family w:val="auto"/>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8314E"/>
    <w:rsid w:val="000A7693"/>
    <w:rsid w:val="001234A4"/>
    <w:rsid w:val="00130BD7"/>
    <w:rsid w:val="0014273D"/>
    <w:rsid w:val="001575AA"/>
    <w:rsid w:val="001810B0"/>
    <w:rsid w:val="00181AB4"/>
    <w:rsid w:val="001916F2"/>
    <w:rsid w:val="001D0D80"/>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556418"/>
    <w:rsid w:val="0055782E"/>
    <w:rsid w:val="005F3046"/>
    <w:rsid w:val="005F4A95"/>
    <w:rsid w:val="00621683"/>
    <w:rsid w:val="00624E87"/>
    <w:rsid w:val="00635096"/>
    <w:rsid w:val="00670175"/>
    <w:rsid w:val="00691C2F"/>
    <w:rsid w:val="00693EEA"/>
    <w:rsid w:val="006E6CDB"/>
    <w:rsid w:val="006F07E4"/>
    <w:rsid w:val="007066F0"/>
    <w:rsid w:val="00735E5D"/>
    <w:rsid w:val="007364DC"/>
    <w:rsid w:val="00743BB1"/>
    <w:rsid w:val="00745330"/>
    <w:rsid w:val="00757D6B"/>
    <w:rsid w:val="0076256B"/>
    <w:rsid w:val="00764690"/>
    <w:rsid w:val="007A235A"/>
    <w:rsid w:val="0080494D"/>
    <w:rsid w:val="00821188"/>
    <w:rsid w:val="00846E5D"/>
    <w:rsid w:val="00854E2C"/>
    <w:rsid w:val="008C6462"/>
    <w:rsid w:val="008D168C"/>
    <w:rsid w:val="00944BE5"/>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55596"/>
    <w:rsid w:val="00B60217"/>
    <w:rsid w:val="00B67212"/>
    <w:rsid w:val="00B7677F"/>
    <w:rsid w:val="00BD3ECB"/>
    <w:rsid w:val="00BE017C"/>
    <w:rsid w:val="00C00BFB"/>
    <w:rsid w:val="00C36F45"/>
    <w:rsid w:val="00C745D6"/>
    <w:rsid w:val="00CA06A0"/>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24D2"/>
    <w:rsid w:val="00F24092"/>
    <w:rsid w:val="00F417B3"/>
    <w:rsid w:val="00FA2D9F"/>
    <w:rsid w:val="00FA6C61"/>
    <w:rsid w:val="00FC2FBD"/>
    <w:rsid w:val="00FD6B5A"/>
    <w:rsid w:val="13A26390"/>
    <w:rsid w:val="15647B8E"/>
    <w:rsid w:val="4C5C4E6B"/>
    <w:rsid w:val="645A1640"/>
    <w:rsid w:val="6D5F4936"/>
    <w:rsid w:val="6DDC3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72C04A-330D-44F8-BB30-FF8B91AB4139}">
  <ds:schemaRefs/>
</ds:datastoreItem>
</file>

<file path=docProps/app.xml><?xml version="1.0" encoding="utf-8"?>
<Properties xmlns="http://schemas.openxmlformats.org/officeDocument/2006/extended-properties" xmlns:vt="http://schemas.openxmlformats.org/officeDocument/2006/docPropsVTypes">
  <Template>Normal.dotm</Template>
  <Pages>58</Pages>
  <Words>38066</Words>
  <Characters>39471</Characters>
  <Lines>1</Lines>
  <Paragraphs>1</Paragraphs>
  <TotalTime>6</TotalTime>
  <ScaleCrop>false</ScaleCrop>
  <LinksUpToDate>false</LinksUpToDate>
  <CharactersWithSpaces>39624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l</cp:lastModifiedBy>
  <dcterms:modified xsi:type="dcterms:W3CDTF">2025-07-04T04:01:53Z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eyJoZGlkIjoiYmZhNzEzNTM1NTNlMjQzYTE1YzZlMTFhMDQyZjUyZmYiLCJ1c2VySWQiOiI1MjA3MzgyMTIifQ==</vt:lpwstr>
  </property>
  <property fmtid="{D5CDD505-2E9C-101B-9397-08002B2CF9AE}" pid="3" name="KSOProductBuildVer">
    <vt:lpwstr>2052-11.1.0.10314</vt:lpwstr>
  </property>
  <property fmtid="{D5CDD505-2E9C-101B-9397-08002B2CF9AE}" pid="4" name="ICV">
    <vt:lpwstr>4EC16B62E5A249FD94799751F715B841_12</vt:lpwstr>
  </property>
</Properties>
</file>