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016EC">
      <w:pPr>
        <w:pStyle w:val="2"/>
        <w:jc w:val="left"/>
        <w:rPr>
          <w:rFonts w:ascii="方正公文小标宋" w:eastAsia="方正公文小标宋"/>
          <w:b w:val="0"/>
          <w:sz w:val="84"/>
          <w:szCs w:val="84"/>
          <w:lang w:eastAsia="zh-CN"/>
        </w:rPr>
      </w:pPr>
    </w:p>
    <w:p w14:paraId="2E0304B7">
      <w:pPr>
        <w:pStyle w:val="2"/>
        <w:jc w:val="left"/>
        <w:rPr>
          <w:rFonts w:ascii="方正公文小标宋" w:eastAsia="方正公文小标宋"/>
          <w:b w:val="0"/>
          <w:sz w:val="84"/>
          <w:szCs w:val="84"/>
          <w:lang w:eastAsia="zh-CN"/>
        </w:rPr>
      </w:pPr>
    </w:p>
    <w:p w14:paraId="20E3823D">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普乐堡镇履行职责事项清单</w:t>
      </w:r>
    </w:p>
    <w:p w14:paraId="607DE0B7">
      <w:pPr>
        <w:rPr>
          <w:rFonts w:ascii="方正公文小标宋" w:eastAsia="方正公文小标宋"/>
          <w:sz w:val="84"/>
          <w:szCs w:val="84"/>
          <w:lang w:eastAsia="zh-CN"/>
        </w:rPr>
      </w:pPr>
    </w:p>
    <w:p w14:paraId="58582A9C">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hAnsi="Times New Roman" w:eastAsia="Arial" w:cs="Times New Roman"/>
          <w:snapToGrid w:val="0"/>
          <w:color w:val="000000"/>
          <w:sz w:val="21"/>
          <w:szCs w:val="21"/>
          <w:lang w:val="zh-CN" w:eastAsia="en-US"/>
        </w:rPr>
        <w:id w:val="147457405"/>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p w14:paraId="7FB27352">
          <w:pPr>
            <w:pStyle w:val="19"/>
            <w:jc w:val="center"/>
            <w:rPr>
              <w:rFonts w:ascii="Times New Roman" w:hAnsi="Times New Roman" w:eastAsia="方正公文小标宋" w:cs="Times New Roman"/>
              <w:color w:val="auto"/>
              <w:sz w:val="44"/>
              <w:szCs w:val="44"/>
              <w:lang w:val="zh-CN"/>
            </w:rPr>
          </w:pPr>
          <w:r>
            <w:rPr>
              <w:rFonts w:ascii="Times New Roman" w:hAnsi="Times New Roman" w:eastAsia="方正公文小标宋" w:cs="Times New Roman"/>
              <w:color w:val="auto"/>
              <w:sz w:val="44"/>
              <w:szCs w:val="44"/>
              <w:lang w:val="zh-CN"/>
            </w:rPr>
            <w:t>目</w:t>
          </w:r>
          <w:r>
            <w:rPr>
              <w:rFonts w:hint="eastAsia" w:ascii="Times New Roman" w:hAnsi="Times New Roman" w:eastAsia="方正公文小标宋" w:cs="Times New Roman"/>
              <w:color w:val="auto"/>
              <w:sz w:val="44"/>
              <w:szCs w:val="44"/>
              <w:lang w:val="zh-CN"/>
            </w:rPr>
            <w:t xml:space="preserve">  </w:t>
          </w:r>
          <w:r>
            <w:rPr>
              <w:rFonts w:ascii="Times New Roman" w:hAnsi="Times New Roman" w:eastAsia="方正公文小标宋" w:cs="Times New Roman"/>
              <w:color w:val="auto"/>
              <w:sz w:val="44"/>
              <w:szCs w:val="44"/>
              <w:lang w:val="zh-CN"/>
            </w:rPr>
            <w:t>录</w:t>
          </w:r>
        </w:p>
        <w:p w14:paraId="22B7EC27">
          <w:pPr>
            <w:rPr>
              <w:rFonts w:hint="eastAsia" w:eastAsiaTheme="minorEastAsia"/>
              <w:lang w:val="zh-CN" w:eastAsia="zh-CN"/>
            </w:rPr>
          </w:pPr>
        </w:p>
        <w:p w14:paraId="1595A305">
          <w:pPr>
            <w:pStyle w:val="7"/>
            <w:rPr>
              <w:rFonts w:cs="Times New Roman" w:eastAsiaTheme="minorEastAsia"/>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r>
            <w:fldChar w:fldCharType="begin"/>
          </w:r>
          <w:r>
            <w:instrText xml:space="preserve"> HYPERLINK \l "_Toc172533652" </w:instrText>
          </w:r>
          <w:r>
            <w:fldChar w:fldCharType="separate"/>
          </w:r>
          <w:r>
            <w:rPr>
              <w:rStyle w:val="11"/>
              <w:rFonts w:eastAsia="方正公文小标宋" w:cs="Times New Roman"/>
              <w:lang w:eastAsia="zh-CN"/>
            </w:rPr>
            <w:t>基本</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w:t>
          </w:r>
        </w:p>
        <w:p w14:paraId="1134AC56">
          <w:pPr>
            <w:pStyle w:val="7"/>
            <w:rPr>
              <w:rFonts w:cs="Times New Roman" w:eastAsiaTheme="minorEastAsia"/>
              <w:snapToGrid/>
              <w:color w:val="auto"/>
              <w:kern w:val="2"/>
              <w:sz w:val="21"/>
              <w:szCs w:val="22"/>
              <w:lang w:eastAsia="zh-CN"/>
            </w:rPr>
          </w:pPr>
          <w:r>
            <w:fldChar w:fldCharType="begin"/>
          </w:r>
          <w:r>
            <w:instrText xml:space="preserve"> HYPERLINK \l "_Toc172533653" </w:instrText>
          </w:r>
          <w:r>
            <w:fldChar w:fldCharType="separate"/>
          </w:r>
          <w:r>
            <w:rPr>
              <w:rStyle w:val="11"/>
              <w:rFonts w:eastAsia="方正公文小标宋" w:cs="Times New Roman"/>
              <w:lang w:eastAsia="zh-CN"/>
            </w:rPr>
            <w:t>配合</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.....................................................................................................................................14</w:t>
          </w:r>
        </w:p>
        <w:p w14:paraId="6B434174">
          <w:pPr>
            <w:pStyle w:val="7"/>
            <w:rPr>
              <w:rFonts w:cs="Times New Roman"/>
              <w:b/>
              <w:bCs/>
              <w:lang w:val="zh-CN"/>
            </w:rPr>
          </w:pPr>
          <w:r>
            <w:fldChar w:fldCharType="begin"/>
          </w:r>
          <w:r>
            <w:instrText xml:space="preserve"> HYPERLINK \l "_Toc172533654" </w:instrText>
          </w:r>
          <w:r>
            <w:fldChar w:fldCharType="separate"/>
          </w:r>
          <w:r>
            <w:rPr>
              <w:rStyle w:val="11"/>
              <w:rFonts w:hint="eastAsia" w:eastAsia="方正公文小标宋" w:cs="Times New Roman"/>
              <w:lang w:eastAsia="zh-CN"/>
            </w:rPr>
            <w:t>上级部门收回事项清单</w:t>
          </w:r>
          <w:r>
            <w:rPr>
              <w:rStyle w:val="11"/>
              <w:rFonts w:hint="eastAsia" w:eastAsia="方正公文小标宋" w:cs="Times New Roman"/>
              <w:lang w:eastAsia="zh-CN"/>
            </w:rPr>
            <w:fldChar w:fldCharType="end"/>
          </w:r>
          <w:r>
            <w:rPr>
              <w:rFonts w:cs="Times New Roman"/>
              <w:szCs w:val="32"/>
            </w:rPr>
            <w:fldChar w:fldCharType="end"/>
          </w:r>
          <w:r>
            <w:rPr>
              <w:rFonts w:hint="eastAsia" w:cs="Times New Roman"/>
              <w:szCs w:val="32"/>
              <w:lang w:val="en-US" w:eastAsia="zh-CN"/>
            </w:rPr>
            <w:t>.............................................................................................................................49</w:t>
          </w:r>
        </w:p>
      </w:sdtContent>
    </w:sdt>
    <w:p w14:paraId="2263F238">
      <w:pPr>
        <w:pStyle w:val="2"/>
        <w:jc w:val="both"/>
        <w:rPr>
          <w:rFonts w:ascii="Times New Roman" w:hAnsi="Times New Roman" w:eastAsia="方正小标宋_GBK" w:cs="Times New Roman"/>
          <w:color w:val="auto"/>
          <w:spacing w:val="7"/>
          <w:sz w:val="44"/>
          <w:szCs w:val="44"/>
          <w:lang w:eastAsia="zh-CN"/>
        </w:rPr>
      </w:pPr>
    </w:p>
    <w:p w14:paraId="7CCE4CED">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4707BAD8">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533652"/>
      <w:bookmarkStart w:id="1" w:name="_Toc172077551"/>
      <w:bookmarkStart w:id="2" w:name="_Toc172077416"/>
      <w:bookmarkStart w:id="3" w:name="_Toc172077949"/>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493C7647">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83B73">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C5FD1">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508AA9B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DD9B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74FAAF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04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673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4A8E95C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024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46A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07C633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CA1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A0E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落实党建引领基层治理工作，推行村网格化服务管理，抓好农村基层党建“一抓两整三全面”专项行动，开展“党群共同致富”活动，督促村党组织开展领办创办合作社，助推村集体经济发展和农民致富增收</w:t>
            </w:r>
          </w:p>
        </w:tc>
      </w:tr>
      <w:tr w14:paraId="6BCB360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6B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4F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2EF857D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A1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B7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0E84E6B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038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9F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0D842A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25B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DA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24E218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8B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57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0AC7EDD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DB8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8C9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62EB15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E3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FF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31CADB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49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88E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4A426D2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DB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006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7BA6C2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9CB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104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054DAF8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FC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78E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两级监督体系建设，发现、处理群众身边的腐败问题和不正之风，按权限分类处置举报和问题线索、研究决定党员和监察对象处分，受理党员的控告和申诉，落实“阳光三务”公示公开工作</w:t>
            </w:r>
          </w:p>
        </w:tc>
      </w:tr>
      <w:tr w14:paraId="505AB42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642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B39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落实加强社会主义精神文明建设工作要求，抓好社会主义核心价值观和新时代爱国主义宣传教育，开展先进典型推荐及学习宣传工作，建设和管理新时代文明实践所（站），开展新时代文明实践活动</w:t>
            </w:r>
          </w:p>
        </w:tc>
      </w:tr>
      <w:tr w14:paraId="3F8A362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73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F4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w:t>
            </w:r>
          </w:p>
        </w:tc>
      </w:tr>
      <w:tr w14:paraId="0426A6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CA4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5B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219FCF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0E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DA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做好人大换届选举工作，组织召开人民代表大会，履行镇人大主席团职责，依法开展审查、监督，组织人大代表视察和评议工作，办理人大代表议案和建议，推动人大代表之家（室）建设，服务保障人大代表履职</w:t>
            </w:r>
          </w:p>
        </w:tc>
      </w:tr>
      <w:tr w14:paraId="1032A7C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A6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3D6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00185E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65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28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39E7609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41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734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30362F8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66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DB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0E8E222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422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DF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3BCE37C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85C3E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6982B2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C7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B66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116CCA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713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75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493730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40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3B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0091AA0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4E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91F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101E3F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9C2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51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6BE70A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35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A0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2748F6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B0C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5C2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098C58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66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EA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44FF1D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68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196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6914806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01A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C9F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4EE755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4DA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AC7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3ADE564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1C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34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46C6D3F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A49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10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54BCD1C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328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024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1BE94D2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5F7DB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525133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021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841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501FD89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C0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FC4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22E9586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69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296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0DB150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35D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F23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01A422A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06A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ABA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7A558E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10C1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D5A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050F169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E0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68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复审等工作，补领、换领独生子女父母光荣证，开展计划生育各类补贴的信息采集、数据上报</w:t>
            </w:r>
          </w:p>
        </w:tc>
      </w:tr>
      <w:tr w14:paraId="5E506E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95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C72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5CFD398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90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358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37EDAF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1A6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845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5FE845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97B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13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5892FA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18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9C4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74C7D8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4F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C89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13AF7A0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90A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D6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7868D9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FE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022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5E70C0B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8D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7D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1CF99D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3B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88E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2BE187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37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309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43817E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CE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8B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39D524CC">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A8F8E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219FCA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B444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49D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46AD2E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1F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701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364DE7A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CBC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0E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6AB67D8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F22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FA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负责人民建议征集工作，承办职责范围内的12345政务服务便民热线、人民网、市长信箱、县长信箱、行风热线等社情民意平台诉求事项，做好答复和回访工作</w:t>
            </w:r>
          </w:p>
        </w:tc>
      </w:tr>
      <w:tr w14:paraId="5D19411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447CC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五、乡村振兴（20项）</w:t>
            </w:r>
          </w:p>
        </w:tc>
      </w:tr>
      <w:tr w14:paraId="13FBFE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A52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92D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落实耕地保护政策，推动土地监管网格化日常巡查，强化耕地用途管制，遏制耕地“非农化”，严控耕地“非粮化”，发现违法行为及时制止并上报</w:t>
            </w:r>
          </w:p>
        </w:tc>
      </w:tr>
      <w:tr w14:paraId="394EA5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38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95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257D17A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EF9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61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4D535E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7E8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BC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开展农业技术推广、培训、服务指导工作，做好黑土地保护性耕作项目，对农户施肥进行监测调查，促进农业机械化发展</w:t>
            </w:r>
          </w:p>
        </w:tc>
      </w:tr>
      <w:tr w14:paraId="7A18B15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D4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AE1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01802B1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A08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6C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60C91B5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AA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5A9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负责农村饮水工程项目申报及农村饮水安全管理、维修养护以及水源地保护工作，排查村级供水情况，推动解决农村饮水问题</w:t>
            </w:r>
          </w:p>
        </w:tc>
      </w:tr>
      <w:tr w14:paraId="74ECE8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F98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68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4EF5472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BE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204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4E802E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232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08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7ACB82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B3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BD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5AF0D0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FF9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1F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422E512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57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FA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w:t>
            </w:r>
          </w:p>
        </w:tc>
      </w:tr>
      <w:tr w14:paraId="67BECA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F7E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67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w:t>
            </w:r>
          </w:p>
        </w:tc>
      </w:tr>
      <w:tr w14:paraId="2120A4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027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8B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6173216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9C1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29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4511EF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B3F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83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1065C8D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59D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DD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3560004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F9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1FB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73DAEA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1D3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7E7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6B05D98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FC8A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六、生态环保（11项）</w:t>
            </w:r>
          </w:p>
        </w:tc>
      </w:tr>
      <w:tr w14:paraId="3EB2B7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FE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571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5F9A77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95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56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负责对生态环保的信访举报、重点问题反馈、视频曝光通报进行核实，做好涉及镇、村层面生态环境保护问题的整改工作</w:t>
            </w:r>
          </w:p>
        </w:tc>
      </w:tr>
      <w:tr w14:paraId="0B35FF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277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47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落实河长制，组织河长开展巡河工作，对发现的问题及时处理或制止，不能处理或制止无效的上报，做好村级水管员招聘、培训、监管和考核工作</w:t>
            </w:r>
          </w:p>
        </w:tc>
      </w:tr>
      <w:tr w14:paraId="32D695F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BEA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EA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6D5865C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3D7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96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127242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1E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31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w:t>
            </w:r>
          </w:p>
        </w:tc>
      </w:tr>
      <w:tr w14:paraId="5DA744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BC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21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开展卫片图斑核查工作，排查非法占用宅基地、河滩地、林地、耕地、荒地情况，受理群众的举报和投诉，对非法占用行为及时制止并上报，负责对私搭乱建、乱堆乱放进行整改</w:t>
            </w:r>
          </w:p>
        </w:tc>
      </w:tr>
      <w:tr w14:paraId="6C3C13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EC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844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1B6F554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29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734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76DAF8F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F6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7C8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开展镇、村垃圾治理和分类的宣传引导工作，加强对公共场所、公路、乡村道路、田间的巡查检查</w:t>
            </w:r>
          </w:p>
        </w:tc>
      </w:tr>
      <w:tr w14:paraId="7111B9F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63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A81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2DE4494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4B15F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七、城乡建设（7项）</w:t>
            </w:r>
          </w:p>
        </w:tc>
      </w:tr>
      <w:tr w14:paraId="1433E0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FD7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895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乡村国土空间规划及城镇开发边界外乡村地区的“多规合一”实用性村庄规划并执行，突出民族文化特色、自然景观与建设协调发展，协商确定规划内容，负责对乡、村庄规划区内违反城乡规划行为进行制止和上报</w:t>
            </w:r>
          </w:p>
        </w:tc>
      </w:tr>
      <w:tr w14:paraId="06149A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CD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4E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20D70D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304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D9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w:t>
            </w:r>
          </w:p>
        </w:tc>
      </w:tr>
      <w:tr w14:paraId="53CC7F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26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E6A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59E6936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B3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B29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03256E1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9B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70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2411D4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99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C0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3634EFD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FB78B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八、文化和旅游（10项）</w:t>
            </w:r>
          </w:p>
        </w:tc>
      </w:tr>
      <w:tr w14:paraId="1D84CC4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323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C0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制定文旅产业发展规划，推进文体旅融合发展，打造乡村旅游示范点，积极申报乡村旅游重点村等品牌，负责管理权限内乡村旅游服务设施的管理和维护</w:t>
            </w:r>
          </w:p>
        </w:tc>
      </w:tr>
      <w:tr w14:paraId="138DB2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5F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059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16DA67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18B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13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28735C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E3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486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4D8BEF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FB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A6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6B26D67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BA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E6A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52E8C0B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3DB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0B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做好大雅河漂流、龙溪谷、静心岛景区旅游宣传工作，持续打造大雅河景区旅游品牌，提升知名度</w:t>
            </w:r>
          </w:p>
        </w:tc>
      </w:tr>
      <w:tr w14:paraId="21F7EB0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3BB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315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推进龙头山山地经济融合发展示范项目开发及清泉山招商引资工作</w:t>
            </w:r>
          </w:p>
        </w:tc>
      </w:tr>
      <w:tr w14:paraId="60DE14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FB0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503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做好中共南满省委机关旧址建设等红色文化资源开发，开拓集休闲观光、红色旅游、教育研学为一体的文旅产业，打造宜居、宜游、宜学的红色旅游目的地</w:t>
            </w:r>
          </w:p>
        </w:tc>
      </w:tr>
      <w:tr w14:paraId="3AC215E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91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A5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传承桓仁版画、木雕传统艺术，宣传本地民俗风情、历史传说、地域风光，推进镇域内版画、木雕产业发展</w:t>
            </w:r>
          </w:p>
        </w:tc>
      </w:tr>
      <w:tr w14:paraId="338AD38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1697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3B46CB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C2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38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34B006A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72B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F6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188A10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5DD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E49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7677EEF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65B2E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5791C6B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03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76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5AC4CA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B2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CFE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7C0A2CE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856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8D3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负责镇本级及村财务管理工作，做好财政预决算、国库集中收付管理、会计核算、财务收支审核、内部审计、财政资金和非税收入管理及财政预算一体化平台工作，加强行政事业性国有资产管理及监督执行</w:t>
            </w:r>
          </w:p>
        </w:tc>
      </w:tr>
      <w:tr w14:paraId="30C5076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923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A5F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2EE230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B3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0C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5A4903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004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88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73B13F0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70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60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489F1F7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57E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88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2FEC4D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E59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E8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641848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F2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781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460F2AC4">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417"/>
      <w:bookmarkStart w:id="5" w:name="_Toc172533653"/>
      <w:bookmarkStart w:id="6" w:name="_Toc172077552"/>
      <w:bookmarkStart w:id="7" w:name="_Toc172077950"/>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71B9EC1D">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81A3F">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15342">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09FD">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3755">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EDFBC">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256081D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D2FFB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66B457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506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425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D73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D5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730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61099E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598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F42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D7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BD5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A58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1CB34BA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768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503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70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AF5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FC8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453B579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ACD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B43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B26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7F3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12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5004DEE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AB7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CF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0F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CE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ED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4013078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9D2B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28D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A8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9F5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191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771FEBE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8C6CC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25B6B31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E3B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5F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4D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2D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A67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0B52EE9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18D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16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241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F95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5C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09298EA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A3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28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B0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9A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EB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4AFDE4D7">
        <w:tblPrEx>
          <w:tblCellMar>
            <w:top w:w="0" w:type="dxa"/>
            <w:left w:w="108" w:type="dxa"/>
            <w:bottom w:w="0" w:type="dxa"/>
            <w:right w:w="108" w:type="dxa"/>
          </w:tblCellMar>
        </w:tblPrEx>
        <w:trPr>
          <w:cantSplit/>
          <w:trHeight w:val="152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112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592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05B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C2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CDB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07957AD9">
        <w:tblPrEx>
          <w:tblCellMar>
            <w:top w:w="0" w:type="dxa"/>
            <w:left w:w="108" w:type="dxa"/>
            <w:bottom w:w="0" w:type="dxa"/>
            <w:right w:w="108" w:type="dxa"/>
          </w:tblCellMar>
        </w:tblPrEx>
        <w:trPr>
          <w:cantSplit/>
          <w:trHeight w:val="153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24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3B0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C57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84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E6D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3DA1AC2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2F228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三、民生服务（31项）</w:t>
            </w:r>
          </w:p>
        </w:tc>
      </w:tr>
      <w:tr w14:paraId="41DEDD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6C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40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C6D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34F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A8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42B505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A9F4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769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DFC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91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92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7382A6F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8CD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59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815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1E7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1.市社保中心桓仁县分中心负责比对低保、特困、重残等人员增减变动数据和参保人员数据，确定需要政府代缴人员名单，报送至县人力资源社会保障局；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84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1D77033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DA4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3BB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95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D5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72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76606C6C">
        <w:tblPrEx>
          <w:tblCellMar>
            <w:top w:w="0" w:type="dxa"/>
            <w:left w:w="108" w:type="dxa"/>
            <w:bottom w:w="0" w:type="dxa"/>
            <w:right w:w="108" w:type="dxa"/>
          </w:tblCellMar>
        </w:tblPrEx>
        <w:trPr>
          <w:cantSplit/>
          <w:trHeight w:val="537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608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D56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4C9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32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F66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2.配合县教育局等部门协调第三方做好餐余废弃物运输处理工作。</w:t>
            </w:r>
          </w:p>
        </w:tc>
      </w:tr>
      <w:tr w14:paraId="6555398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6BA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7F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4B1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55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3.县公安局负责对校外托管机构和校外培训机构的安全保卫工作进行指导和监督检查；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3D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71F6FDB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7DA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2E6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D7F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60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319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656CBFE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6A8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05C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78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331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8B6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67E2CD8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C5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EE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开展移交安置工作和无军籍职工服务管理工作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A7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CC2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9DD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1.了解退役军人安置需求并上报，帮助退役军人办理落户手续；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330E28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D1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53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28E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426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DD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3.协助做好烈士寻亲工作。</w:t>
            </w:r>
          </w:p>
        </w:tc>
      </w:tr>
      <w:tr w14:paraId="1FE7C7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AEE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1A5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4A9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48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19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6E0D2DB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AA8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BC8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479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4B3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4F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035C6E8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ED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50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E6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D80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695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085D05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F11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F6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61C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115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EF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07052F9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F8E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99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98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06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1.县卫生健康局组织专业机构对病媒生物预防控制效果进行评估，建立病媒生物监测网络，组织实施病媒生物种群分布、密度和抗药性监测，负责县城区内“四害”消杀及指导工作；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2.县农业农村局负责农田灭鼠，指导乡镇开展消杀工作。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3D1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4.提前告知村民消杀事宜，做好家庭及个人防护。</w:t>
            </w:r>
          </w:p>
        </w:tc>
      </w:tr>
      <w:tr w14:paraId="23CC37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291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65D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CA7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0F2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C66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2091FB2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26E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1E5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D6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C2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1.全面了解全县人口、资源、环境、经济社会发展、人群健康素养和疾病负担情况，分析全县存在的主要健康问题，明确需要优先干预的问题和领域；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B8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2.组织村民参加慢性病义诊活动。</w:t>
            </w:r>
          </w:p>
        </w:tc>
      </w:tr>
      <w:tr w14:paraId="729D6EF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4D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E3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A9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96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AE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3.配合疾控专业机构开展传染病防治、地方病防治、公共卫生和预防接种相关工作；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5057EBD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397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36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088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62D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F5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1F49B7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16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86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E4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55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4D1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5.对适老化改造对象进行回访。</w:t>
            </w:r>
          </w:p>
        </w:tc>
      </w:tr>
      <w:tr w14:paraId="2B9C1F7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73A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1A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35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EAB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933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4470792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807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08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A8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C5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B33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18C512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50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79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E5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29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FAE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02C7773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08F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6B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AB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E3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EE7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702E5C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11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4A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B09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073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791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5420E9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95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12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7D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9A7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DC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1.做好对享受补助残疾人资格审核，材料申报工作;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2D63EBD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7A9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E3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2B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D8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7AE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3515A63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8B8C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78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871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C61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144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34DEC13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4CB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2F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F6E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14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C86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445347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3F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4E0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930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9F8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1.负责残疾人证申办受理、核发管理工作；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3.负责组织开展困难残疾人家庭无障碍改造，残疾人实用技术培训、职业技能培训等工作；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4.组织开展残疾人康复服务工作，对基本康复服务名单认定，对14周岁以下残疾儿童康复救助名单上报。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B8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1.组织残疾人做好证件的材料收集、上报并公示；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3.提供困难残疾人家庭无障碍改造信息并做好回访；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4.对需要基本康复服务的困难残疾人身份进行核实并上报；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5.对14周岁以下残疾儿童康复救助需求调查，录入“一卡通”系统。</w:t>
            </w:r>
          </w:p>
        </w:tc>
      </w:tr>
      <w:tr w14:paraId="06CFA2E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74F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996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9A7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058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FD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5E6413B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5B7BE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四、平安法治（3项）</w:t>
            </w:r>
          </w:p>
        </w:tc>
      </w:tr>
      <w:tr w14:paraId="7AAC8A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9BF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66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CDF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BE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4E2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2.做好基层法律服务站点场所保障，对“四个重大”问题提出法律意见需求。</w:t>
            </w:r>
          </w:p>
        </w:tc>
      </w:tr>
      <w:tr w14:paraId="07E474D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23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47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05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87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0CD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14D245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924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093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73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w:t>
            </w:r>
            <w:r>
              <w:rPr>
                <w:rFonts w:hint="eastAsia" w:ascii="Times New Roman" w:hAnsi="方正公文仿宋" w:eastAsia="方正公文仿宋"/>
                <w:kern w:val="0"/>
                <w:szCs w:val="21"/>
                <w:lang w:eastAsia="zh-CN" w:bidi="ar"/>
              </w:rPr>
              <w:t>局、</w:t>
            </w:r>
            <w:r>
              <w:rPr>
                <w:rFonts w:hint="eastAsia" w:ascii="Times New Roman" w:hAnsi="方正公文仿宋" w:eastAsia="方正公文仿宋"/>
                <w:kern w:val="0"/>
                <w:szCs w:val="21"/>
                <w:lang w:bidi="ar"/>
              </w:rPr>
              <w:t>县司法</w:t>
            </w:r>
            <w:r>
              <w:rPr>
                <w:rFonts w:hint="eastAsia" w:ascii="Times New Roman" w:hAnsi="方正公文仿宋" w:eastAsia="方正公文仿宋"/>
                <w:kern w:val="0"/>
                <w:szCs w:val="21"/>
                <w:lang w:eastAsia="zh-CN" w:bidi="ar"/>
              </w:rPr>
              <w:t>局、</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D8C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2.县司法局负责校园周边安全治理法治宣传教育工作；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公安局负责对学校及其周边的巡逻，对校园周边出租房屋、宾馆酒店等重点场所清理整治，配合清理校园周边各类违规培训班、托管班；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92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14:paraId="1843EBA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F88A9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01ABE1F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2B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673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72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EC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0F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4D3B7A1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B43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67C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DBB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FE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35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3.配合项目验收及公示工作。</w:t>
            </w:r>
          </w:p>
        </w:tc>
      </w:tr>
      <w:tr w14:paraId="679516F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6F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48B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00F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646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07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6231FE9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93A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6E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2F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59E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29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410774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85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47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919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9B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E08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2F692CF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2CB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DDB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747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65E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F24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357170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CE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F8D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61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FE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4.做好农机驾驶员驾驶证考核工作及做好农机驾驶证有效期满换证工作；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5.做好办理农机号牌登记工作及做好农业机械因转移、抵押、注销等变更登记工作；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6.做好农业机械事故处理工作；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7.做好农机禁用及报废车辆清理工作；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8.春秋两季农机车辆路检路查工作。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777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w:t>
            </w:r>
          </w:p>
        </w:tc>
      </w:tr>
      <w:tr w14:paraId="604659C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343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783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做好农机购置、应用与报废补贴工作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2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96B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1.组织实施农机购置、应用与报废补贴工作，公布农机购置、应用与报废补贴范围和标准；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2.对申报的农机购置、应用与报废补贴材料进行审核；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3.建立农机购置、应用与报废补贴监督检查机制和管理制度，开展核实工作。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E3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2.负责农机购置、应用与报废补贴的受理、核验以及公示工作；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3.报送农机购置、应用与报废补贴信息材料。</w:t>
            </w:r>
          </w:p>
        </w:tc>
      </w:tr>
      <w:tr w14:paraId="1999033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F42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4D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56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9D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A8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39821ADC">
        <w:tblPrEx>
          <w:tblCellMar>
            <w:top w:w="0" w:type="dxa"/>
            <w:left w:w="108" w:type="dxa"/>
            <w:bottom w:w="0" w:type="dxa"/>
            <w:right w:w="108" w:type="dxa"/>
          </w:tblCellMar>
        </w:tblPrEx>
        <w:trPr>
          <w:cantSplit/>
          <w:trHeight w:val="12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B39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F85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4FC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C0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53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4884F0D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62A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FF6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FDC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59E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F1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6791B667">
        <w:tblPrEx>
          <w:tblCellMar>
            <w:top w:w="0" w:type="dxa"/>
            <w:left w:w="108" w:type="dxa"/>
            <w:bottom w:w="0" w:type="dxa"/>
            <w:right w:w="108" w:type="dxa"/>
          </w:tblCellMar>
        </w:tblPrEx>
        <w:trPr>
          <w:cantSplit/>
          <w:trHeight w:val="148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B5E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98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7D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C1C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902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1B053F2F">
        <w:tblPrEx>
          <w:tblCellMar>
            <w:top w:w="0" w:type="dxa"/>
            <w:left w:w="108" w:type="dxa"/>
            <w:bottom w:w="0" w:type="dxa"/>
            <w:right w:w="108" w:type="dxa"/>
          </w:tblCellMar>
        </w:tblPrEx>
        <w:trPr>
          <w:cantSplit/>
          <w:trHeight w:val="282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D60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B5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99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D1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2.本溪市桓仁生态环境分局负责开展农药包装废弃物回收处理的宣传、教育和指导，负责农膜回收、再利用过程和农药包装废弃物回收处理活动环境污染防治的监督管理；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EE5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64EE1F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F26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86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F02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AD3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55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5D5A48E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E71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7FB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B4D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326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8F1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1D89969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1AA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39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610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59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13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68F36DA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B07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0D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F1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361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AFC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2.开展日常巡查，重点关注自备水源井，发现违法行为及时制止并上报；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5146CB8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44F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D62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D0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2AC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71E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60D85E7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1E306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6AF526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E18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84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3EB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0EA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1.县自然资源局负责耕地及基本农田保护监管工作，确认耕地和基本农田数量，按照有关规定严格控制各类建设占用一般耕地及基本农田情况，实行动态监测管理；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2.县自然资源局、县农业农村局根据职责分别负责违法用地调查工作，防止违建别墅、“大棚房”、乱占耕地行为反弹，对发现的侵占、破坏耕地和基本农田等违法行为进行查处与整改。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80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落实耕地网格化管理及区块责任人制度，定期开展巡查，定期排查违建别墅、“大棚房”、乱占耕地建房等行为，发现破坏耕地违法行为及时制止并上报，配合开展整改和查处。</w:t>
            </w:r>
          </w:p>
        </w:tc>
      </w:tr>
      <w:tr w14:paraId="6DC346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B5C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DF6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8C1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62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BB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4592D25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6AC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99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D02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FE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930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081C6E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3C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26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B70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24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1.编制本行政区域的土地调查实施方案，并组织实施土地调查工作；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2.加强对承担土地调查任务单位的监管；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3.逐级依次公布本行政区域的土地调查成果；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4.做好土地调查成果的保存、管理、开发、应用和为社会公众提供服务等工作。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E7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1.广泛动员和组织社会力量积极参与土地调查工作；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 配合调查队伍开展实地调查工作，提供必要的工作条件和帮助。</w:t>
            </w:r>
          </w:p>
        </w:tc>
      </w:tr>
      <w:tr w14:paraId="0D9C185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C8B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216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5E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F2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1.按土地复垦方案和复垦标准，负责组织农业、林业、生态环境等部门专家进行现场踏勘；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C1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7AEBF5D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A46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63B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069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6B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681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2F2FDF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0B5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3D8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11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5D3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D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50934F7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0C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D22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AA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8D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9D7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656942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87D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E2A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52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BE6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A5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3757F03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BA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39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A9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97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C42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324371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408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6B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A1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991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1A6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7A354FA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4ED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51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BB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E46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27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5D77718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CAF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84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20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BB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678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07D5748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54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8E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3A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E96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F8E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043143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EDC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C4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F6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E1A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BCC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0D5701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527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E7C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760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65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F6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0DD0F38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AD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12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C4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199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45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4AC35C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A8A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35D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5A8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BC6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268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6C50F8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2AF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A87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AA7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DD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BA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05ECA08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524F6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14:paraId="42A3C93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E72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6C9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5E8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BC5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F6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6DD9DAB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9A3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DB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CB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DD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7E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63F8C66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6B3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5C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D3C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43E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5.县市场监管局会同桓仁生态环境分局对锅炉生产、进口、销售和使用环节执行环境保护标准或者要求的情况进行监督检查。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C5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2BC6609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98A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C1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4A6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78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2.组织开展入河排污口监督、检查，督促责任主体做好规范整治工作；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1CF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1.负责权属范围内农村污水处理设施的建设、运行维护，确保设施稳定运行；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2.负责开展入河排污口调查、规范整治（除工业排污口、规模化畜禽养殖排污口和水产养殖排污口外）等工作；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71620F0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02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EB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76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D3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F3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5171548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8F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CC4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C8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456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F4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3C138D9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4C7C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A8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A4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D32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4.县住房城乡建设局负责二棚甸子镇、木盂子管委会污水厂运行的监督管理；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5.县交通运输局负责在饮用水水源保护区内的县乡公路设置交通警示标志牌，在穿越饮用水水源保护区的交通道路建设防撞护栏、事故导流槽、应急池，并加强管理；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92C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2.开展水源保护区风险源排查整治工作，进行日常巡查，并做好记录，发现问题及时上报，并协助做好整治方案实施相关工作；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3.开展农村集中式饮用水水源保护排查，发现问题及时上报。</w:t>
            </w:r>
          </w:p>
        </w:tc>
      </w:tr>
      <w:tr w14:paraId="3B3619CF">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442A5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八、城乡建设（5项）</w:t>
            </w:r>
          </w:p>
        </w:tc>
      </w:tr>
      <w:tr w14:paraId="75C7D9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69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E3C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D3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01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2.指导乡镇做好村镇建设规划和方案；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029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5F6DD3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2C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97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C7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39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农村公路新改建、维修改造工程，建立完善农村公路应急预案，指导农村公路防灾及突发事件处置等工作，负责对农村公路日常养护工作进行业务指导，制定完善农村公路养护巡查、养护维修、安全生产、检查考评等相关制度并实施监督检查，组织开展农村公路路政执法及路域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2.县财政局负责“一事一议”财政奖补村内道路建设项目相关工作。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800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714BB14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3B7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04E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10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017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4.县应急局负责非煤矿山、危险化学品和监管范围内规上企业燃气安全综合监管工作；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5.县市场监管局负责燃气生产环节的产品质量、计量监管、压力管道制造等环节的安全监察，负责燃气流通环节的商品质量的监管；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4E1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1F403FC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115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73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92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DA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8D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4.对历史文化名镇名村、历史文化街区、传统村落、历史建筑进行保护、修缮。</w:t>
            </w:r>
          </w:p>
        </w:tc>
      </w:tr>
      <w:tr w14:paraId="51B4D11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B7D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94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6CD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26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7.组织填报农村危房改造信息系统；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8.组织开展农村房屋安全隐患排查整治等工作。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870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2.按照鉴定结果，做好村评议、镇审核等工作；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3E3FD05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EF04C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67A920A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520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78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A0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95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09D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3DA77DA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D4F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11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10E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F50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742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192F4C8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B1E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4A6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A7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C6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21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64ABBB2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CC6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804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374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D6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56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39ED341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9930A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十、应急管理及消防（13项）</w:t>
            </w:r>
          </w:p>
        </w:tc>
      </w:tr>
      <w:tr w14:paraId="046DB95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31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77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60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D03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B38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6D3F593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53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C7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712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AF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4.本溪市桓仁生态环境分局负责灾区环境应急信息通报和应急预警工作；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3CC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3DEA385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D25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E2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263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02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灾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0D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2027612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70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B8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B32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E1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8CB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0855AEF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890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BD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CF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1D1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14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1DD9CBB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1858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194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207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A81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1.县应急局依据授权或委托组织成立事故调查组，进行事故调查，查明事故性质，认定事故责任，总结事故教训，提出整改措施，并对事故责任者依法追究责任；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F1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5E8882A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1C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974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1C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3C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AB6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501F2D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E2C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CE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EF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8A8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4CD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71388C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03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33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0A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490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DD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36645B3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DB28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D2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B0D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F3E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C14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1320FDD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1E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8AB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42C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9CA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D1E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744FF99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FE2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C79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6F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66A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3.县公安局依据权限对物业是否履行电动自行车入户、飞线充电等劝阻行为进行监督检查。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8E3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p>
        </w:tc>
      </w:tr>
      <w:tr w14:paraId="583492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E8C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E1F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做好水上安全管理工作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572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7D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水上交通安全管理工作，对通航水域船舶、浮动设施、船员和通航安全环境进行监督检查，发现内河交通安全隐患时，责令有关单位和个人立即消除或者限期消除，有关单位和个人不立即消除或者逾期不消除的，采取责令其临时停航、停止作业，禁止进港、离港等强制性措施，对渡口水域水上交通事故进行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2.各行业主管部门建立健全和落实水上交通安全管理责任制度，依法查处“三无”船舶。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A3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做好重点水域冰上路口设立安全警示标志，做好冬季冰面入江口封堵工作，开展冬季冰上安全日常巡查。</w:t>
            </w:r>
          </w:p>
        </w:tc>
      </w:tr>
      <w:tr w14:paraId="1F7EF25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CA414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7F59BE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590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79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47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ED8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59C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375FF0E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40C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E8B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30F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363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EB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3BDCB07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466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F3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3F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73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D78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2DE07F74">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951"/>
      <w:bookmarkStart w:id="9" w:name="_Toc172077418"/>
      <w:bookmarkStart w:id="10" w:name="_Toc172077553"/>
      <w:bookmarkStart w:id="11" w:name="_Toc172533654"/>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5E6E6C14">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B548">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9327">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C45C">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575AB53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8C682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7747196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A5F3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9A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18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工作方式：对挪用、侵占、哄抢、私分和破坏集体资产的违规行为进行调查，责令退回资产，赔偿损失，没收非法所得，并对有关责任人处以罚款。</w:t>
            </w:r>
          </w:p>
        </w:tc>
      </w:tr>
      <w:tr w14:paraId="79E047B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5359F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二、民生服务（10项）</w:t>
            </w:r>
          </w:p>
        </w:tc>
      </w:tr>
      <w:tr w14:paraId="471273D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443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58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250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3FF1FE9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E6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7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9C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工作方式：县妇幼中心利用线上预约等方式，登记需求信息，免费向已婚育龄夫妻提供避孕药具</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通过设立固定发放点及社区卫生服务中心进行按需发放，并提供使用指导和随访服务。</w:t>
            </w:r>
          </w:p>
        </w:tc>
      </w:tr>
      <w:tr w14:paraId="64FE6A4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1961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D38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CF2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承接部门：县计划生育协会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61C3B6D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3DAF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9F0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4C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5D7128C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258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6E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80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3384BA0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437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06F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0E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0A74F1D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B6D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74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DC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278C90C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4329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1E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07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68BE55F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6F5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7D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87E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工作方式：组织确认违规领取行为，收集违规领取人员信息，核算违规领取时间及金额，下发并送达追缴通知书，进行资金追缴。</w:t>
            </w:r>
          </w:p>
        </w:tc>
      </w:tr>
      <w:tr w14:paraId="15D24C5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61C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E00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C5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1C1F314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1A500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三、平安法治（4项）</w:t>
            </w:r>
          </w:p>
        </w:tc>
      </w:tr>
      <w:tr w14:paraId="54E6644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DC7E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8FD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76A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467372A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ECE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10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8A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5A4A988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7FAC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C00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70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工作方式：对地名标准名称、罗马字母拼写、位置标注、地名类别、隶属关系等基本信息进行审核、复核、更新。</w:t>
            </w:r>
          </w:p>
        </w:tc>
      </w:tr>
      <w:tr w14:paraId="2801465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FEC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64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00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54B9185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1D6F1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四、乡村振兴（8项）</w:t>
            </w:r>
          </w:p>
        </w:tc>
      </w:tr>
      <w:tr w14:paraId="5CE00E51">
        <w:tblPrEx>
          <w:tblCellMar>
            <w:top w:w="0" w:type="dxa"/>
            <w:left w:w="108" w:type="dxa"/>
            <w:bottom w:w="0" w:type="dxa"/>
            <w:right w:w="108" w:type="dxa"/>
          </w:tblCellMar>
        </w:tblPrEx>
        <w:trPr>
          <w:cantSplit/>
          <w:trHeight w:val="98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0090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7E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590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工作方式：调查疫情基本情况，发病动物群体特征等，对动物疫病状况进行风险评估，根据评估和调查结果，采取相应的防控措施。</w:t>
            </w:r>
          </w:p>
        </w:tc>
      </w:tr>
      <w:tr w14:paraId="19FDA63E">
        <w:tblPrEx>
          <w:tblCellMar>
            <w:top w:w="0" w:type="dxa"/>
            <w:left w:w="108" w:type="dxa"/>
            <w:bottom w:w="0" w:type="dxa"/>
            <w:right w:w="108" w:type="dxa"/>
          </w:tblCellMar>
        </w:tblPrEx>
        <w:trPr>
          <w:cantSplit/>
          <w:trHeight w:val="131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E137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A7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F7B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工作方式：负责农机安全生产和隐患排查，对农业机械的登记、检验，检查农机作业安全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组织监管人员深入农机作业、存放等场所，常态化开展隐患排查整治。重点排查农机安全生产中的重大隐患，防止重大农机事故的发生。</w:t>
            </w:r>
          </w:p>
        </w:tc>
      </w:tr>
      <w:tr w14:paraId="7DAC2E38">
        <w:tblPrEx>
          <w:tblCellMar>
            <w:top w:w="0" w:type="dxa"/>
            <w:left w:w="108" w:type="dxa"/>
            <w:bottom w:w="0" w:type="dxa"/>
            <w:right w:w="108" w:type="dxa"/>
          </w:tblCellMar>
        </w:tblPrEx>
        <w:trPr>
          <w:cantSplit/>
          <w:trHeight w:val="164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CC7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52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B4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工作方式：组织相关部门收集在江河、湖泊、水库等水域发现的死亡畜禽，按照《病死及病害动物无害化处理技术规范》要求进行无害化处理，优先采用化制等方法，不具备条件的地方可采用深埋法处理</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采用深埋法的，要严格按照规范合理选址、规范操作，防止污染水源和环境。</w:t>
            </w:r>
          </w:p>
        </w:tc>
      </w:tr>
      <w:tr w14:paraId="0547F85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02D4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AC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47D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各部门加强外来入侵物种防控宣传教育与科学普及，增强公众外来入侵物种防控意识，引导公众依法参与外来入侵物种防控工作，对农田、渔业水域、森林、草原、湿地等区域外来入侵物种进行监督管理。</w:t>
            </w:r>
          </w:p>
        </w:tc>
      </w:tr>
      <w:tr w14:paraId="3D08C98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81BA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69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85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工作方式：会同有关部门对农田、渔业水域、森林、草原、湿地等区域对外来物种的种类数量、分布范围、危害程度等情况开展普查工作。</w:t>
            </w:r>
          </w:p>
        </w:tc>
      </w:tr>
      <w:tr w14:paraId="3065C57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81D8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995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12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65E188E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141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6E6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FCC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20CB5DA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6538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84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B5D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肥料登记管理办法》，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21EADA7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0E849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14:paraId="0CB4075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0AA4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B3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E9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承接部门：市医保中心桓仁县分中心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6A27A14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70D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B15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1FC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25EA471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C1B0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EE2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8E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1EDFA99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484B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C4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34F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71D6EAF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1749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22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B21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57E8FF7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7E297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六、自然资源（10项）</w:t>
            </w:r>
          </w:p>
        </w:tc>
      </w:tr>
      <w:tr w14:paraId="4602620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1F54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197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5E8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14:paraId="097924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E27A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D63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CD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工作方式：根据森林督查图斑对全县破坏森林资源问题进行核查，组织开展破坏森林资源问题检查，做好森林资源修复利用及更新的全面核实验收工作。</w:t>
            </w:r>
          </w:p>
        </w:tc>
      </w:tr>
      <w:tr w14:paraId="1B4B0EF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2ECB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FE2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3D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6DAD603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8A6F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B2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EE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对储备土地按片区分工巡查，记录环境卫生状况。组织人员清理垃圾杂物、平整土地，整治乱堆物料等乱象。定期复查巩固整治成效，营造整洁有序的储备土地环境。</w:t>
            </w:r>
          </w:p>
        </w:tc>
      </w:tr>
      <w:tr w14:paraId="54FDC5B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AA8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A4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A20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工作方式：县自然资源局依法依规对在耕地上非法采砂行为进行监管、查处；县水务局依法依规对河道水面岸线范围内的非法采砂行为进行监管、查处。</w:t>
            </w:r>
          </w:p>
        </w:tc>
      </w:tr>
      <w:tr w14:paraId="4886316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1267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F6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1D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承接部门：县土地征收中心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工作方式：依法履行土地征收征用管理职责，对需要征用的土地进行土地征收报卷工作，对具备供地条件的地块实施供地，及时解决土地征收征用中存在的问题。</w:t>
            </w:r>
          </w:p>
        </w:tc>
      </w:tr>
      <w:tr w14:paraId="740711B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B06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C98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对建设工程是否符合规划条件予以核实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E5A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国务院规定对建设工程是否符合规划条件予以核实。未经核实或者经核实不符合规划条件的，建设单位不得组织竣工验收。建设单位应当在竣工验收后六个月内向城乡规划主管部门报送有关竣工验收资料。</w:t>
            </w:r>
          </w:p>
        </w:tc>
      </w:tr>
      <w:tr w14:paraId="226AE7A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9F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54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审核地籍调查表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8DD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不动产登记申请内容对本宗地籍号及其所在图幅号；土地坐落、权属性质、宗地四至、土地使用者名称；单位所有制性质及其主管部门；法人代表或户主姓名、身份证号码和电话号码；批准用途、实际用途和使用期限；界址调查记录；宗地草图；权属调查和调查员意见；地籍测量记事；地籍调查结果审核等进行现场调查核实。</w:t>
            </w:r>
          </w:p>
        </w:tc>
      </w:tr>
      <w:tr w14:paraId="1C7A7A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A18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D9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对涉嫌违法建设和违法审批的自建房地质灾害处理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0DD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工作方式：对于涉嫌违法建设和违法审批的自建房屋引发地质灾害的，责令停止违法行为，并要求其对产生地质灾害隐患进行消除，未能消除的依法查处。</w:t>
            </w:r>
          </w:p>
        </w:tc>
      </w:tr>
      <w:tr w14:paraId="1449D99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C630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A2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2E6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工作方式：开展代履行植被恢复工作，对拒不恢复植被和林业生产条件或者不符合规定的行为依法组织代为履行，所需费用由违法者承担。</w:t>
            </w:r>
          </w:p>
        </w:tc>
      </w:tr>
      <w:tr w14:paraId="0159335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E467A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2D8F8D7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509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DB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03C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承接部门：本溪市桓仁生态环境分局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在隐患排查过程中，发现隐患问题及时要求并指导企业尽快完成整改</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严厉打击涉危险废物违法行为，对生态环境造成损坏的违法行为依法予以严惩。</w:t>
            </w:r>
          </w:p>
        </w:tc>
      </w:tr>
      <w:tr w14:paraId="7E73C9A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5FB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5A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建设项目环境保护设施竣工验收</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1E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法律法规条款已失效，不再开展此工作。</w:t>
            </w:r>
          </w:p>
        </w:tc>
      </w:tr>
      <w:tr w14:paraId="582376A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B791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7B1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对治污攻坚宣传工作的考核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0DB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3549E7D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6302C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66FC9B7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2FD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BC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21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工作方式：对建设单位或个人，未取得建设工程规划许可证或者未按照建设工程规划许可证的规定进行建设的建筑物、构筑物，根据《中华人民共和国城乡规划法》第六十四条有关规定，进行立案查处。</w:t>
            </w:r>
          </w:p>
        </w:tc>
      </w:tr>
      <w:tr w14:paraId="7033F3F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EF49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FF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6C9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工作方式：对建设单位或个人，未经批准或未按照批准进行建设的临时性建筑物、构筑物，根据《中华人民共和国城乡规划法》第六十六条有关规定，进行立案查处。</w:t>
            </w:r>
          </w:p>
        </w:tc>
      </w:tr>
      <w:tr w14:paraId="740DBF9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E02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4C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61D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工作方式：根据人民法院的行政裁定，由县人民政府组织实施，指定临时建筑物、构筑物和其他设施的审批部门进行拆除。</w:t>
            </w:r>
          </w:p>
        </w:tc>
      </w:tr>
      <w:tr w14:paraId="06D0A7A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C216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29B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49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02B486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7318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E6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对违法占用土地（农用地、建设用地、未利用地）上的建筑物、构建物和其他设施的拆除工作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6B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工作方式：根据人民法院的行政裁定，由县人民政府组织实施，指定相关部门对违法建筑进行拆除。</w:t>
            </w:r>
          </w:p>
        </w:tc>
      </w:tr>
      <w:tr w14:paraId="093A402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69E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5FC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6D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工作方式：按照相关房屋安全评估要求，协助第三方鉴定机构组建联合工作组，根据集中摸排情况，及时对疑似危房的房屋进行鉴定。</w:t>
            </w:r>
          </w:p>
        </w:tc>
      </w:tr>
      <w:tr w14:paraId="5FB4D07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E1A7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BE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2E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工作方式：组织对农村住房进行排查，摸清房屋基本情况，建立农村房屋档案</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对初步判定可能存在安全隐患的房屋，聘请专业机构对农村住房安全进行鉴定评定。</w:t>
            </w:r>
          </w:p>
        </w:tc>
      </w:tr>
      <w:tr w14:paraId="2DDA148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63B3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3B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527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工作方式：组织全面排查自建房屋并输入全国房屋建筑和市政设施调查系统，针对系统内存在隐患的自建房组织或委托第三方进行安全等级鉴定。</w:t>
            </w:r>
          </w:p>
        </w:tc>
      </w:tr>
      <w:tr w14:paraId="3954C13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6107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DF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DD9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工作方式：统筹土壤普查工作，编制工作方案，开展培训和宣传，做好样点校核、外业调查采样、内业测试化验、数据审核等工作。</w:t>
            </w:r>
          </w:p>
        </w:tc>
      </w:tr>
      <w:tr w14:paraId="432E119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A6BF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97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87F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46214D8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E92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EB8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350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工作方式：在乡道、村道出入口科学选址，精准测量后安装限高、限宽设施，设置警示标识，定期巡查维护，实施联动监管，发现损坏及时修复，确保设施安全管用。</w:t>
            </w:r>
          </w:p>
        </w:tc>
      </w:tr>
      <w:tr w14:paraId="781EC2F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B66F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EC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6A7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47C90B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47EF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62C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对普通国省干线用地范围内摆摊设点、堆放物品、倾倒垃圾、设置障碍、挖沟引水、利用公路边沟排放污染物等造成公路路面损坏、污染或者影响公路畅通等违法行为的查处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4A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承接部门：县交通运输局、本溪市交通运输综合行政执法队桓仁县路政大队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公路法》《公路安全保护条例》《本溪路政执法队路政管理工作职责》，对普通国省干线用地范围内摆摊设点、堆放物品、倾倒垃圾、设置障碍、挖沟引水、利用公路边沟排放污染物等造成公路路面损坏、污染或者影响公路畅通等违法行为进行查处。</w:t>
            </w:r>
          </w:p>
        </w:tc>
      </w:tr>
      <w:tr w14:paraId="78F12551">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D8475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7585358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E4D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0D0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F7D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0F434CE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0C8D1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十、应急管理及消防（7项）</w:t>
            </w:r>
          </w:p>
        </w:tc>
      </w:tr>
      <w:tr w14:paraId="09F1A15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E40C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904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8C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4D5A9B3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8C2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4D5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8F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5D1E784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159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AA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4A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责令立即或限期整改。</w:t>
            </w:r>
          </w:p>
        </w:tc>
      </w:tr>
      <w:tr w14:paraId="2A3EB06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16B6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D4F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9C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4A55924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B271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B8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60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57CE375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822E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CC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53A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w:t>
            </w:r>
            <w:r>
              <w:rPr>
                <w:rFonts w:hint="eastAsia" w:ascii="Times New Roman" w:hAnsi="方正公文仿宋" w:eastAsia="方正公文仿宋"/>
                <w:kern w:val="0"/>
                <w:szCs w:val="21"/>
                <w:lang w:eastAsia="zh-CN" w:bidi="ar"/>
              </w:rPr>
              <w:t>，</w:t>
            </w:r>
            <w:bookmarkStart w:id="12" w:name="_GoBack"/>
            <w:bookmarkEnd w:id="12"/>
            <w:r>
              <w:rPr>
                <w:rFonts w:hint="eastAsia" w:ascii="Times New Roman" w:hAnsi="方正公文仿宋" w:eastAsia="方正公文仿宋"/>
                <w:kern w:val="0"/>
                <w:szCs w:val="21"/>
                <w:lang w:bidi="ar"/>
              </w:rPr>
              <w:t>监督企业履行法定职责，加强安全生产标准化、安全预防控制体系建设等工作。</w:t>
            </w:r>
          </w:p>
        </w:tc>
      </w:tr>
      <w:tr w14:paraId="5D70520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194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F0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E3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辽宁省建设项目安全设施监督管理办法》等法律法规，依法对企业和外包施工单位进行监督检查，发现隐患和问题，及时责令单位进行整改。</w:t>
            </w:r>
          </w:p>
        </w:tc>
      </w:tr>
      <w:tr w14:paraId="49B7BE2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15A04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0CB615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0C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C1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4A8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5AB5C3F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AA3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ACD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BB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1332B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CDF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18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D80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2E3F2ECC">
      <w:pPr>
        <w:pStyle w:val="3"/>
        <w:spacing w:before="0" w:after="0" w:line="240" w:lineRule="auto"/>
        <w:jc w:val="center"/>
        <w:rPr>
          <w:rFonts w:ascii="Times New Roman" w:hAnsi="Times New Roman" w:eastAsia="方正小标宋_GBK" w:cs="Times New Roman"/>
          <w:color w:val="auto"/>
          <w:spacing w:val="7"/>
          <w:lang w:eastAsia="zh-CN"/>
        </w:rPr>
      </w:pPr>
    </w:p>
    <w:p w14:paraId="5558ACA8">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5E827B1-D04B-49EB-A0E7-7181A06DDF2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embedRegular r:id="rId2" w:fontKey="{29DAE7B0-7AE0-421E-A6E8-0ECC61310595}"/>
  </w:font>
  <w:font w:name="方正公文仿宋">
    <w:altName w:val="仿宋"/>
    <w:panose1 w:val="02000000000000000000"/>
    <w:charset w:val="86"/>
    <w:family w:val="auto"/>
    <w:pitch w:val="default"/>
    <w:sig w:usb0="00000000" w:usb1="00000000" w:usb2="00000010" w:usb3="00000000" w:csb0="00040000" w:csb1="00000000"/>
    <w:embedRegular r:id="rId3" w:fontKey="{059276B9-5879-4D77-A2C6-A671DA8B33F3}"/>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4" w:fontKey="{6414685A-62C4-4CCD-A1B8-5E8DBC5A68AE}"/>
  </w:font>
  <w:font w:name="方正小标宋_GBK">
    <w:altName w:val="微软雅黑"/>
    <w:panose1 w:val="00000000000000000000"/>
    <w:charset w:val="86"/>
    <w:family w:val="script"/>
    <w:pitch w:val="default"/>
    <w:sig w:usb0="00000000" w:usb1="00000000" w:usb2="00000000" w:usb3="00000000" w:csb0="00040000" w:csb1="00000000"/>
    <w:embedRegular r:id="rId5" w:fontKey="{9EA42BE0-8BD5-4C69-A090-981E0AD220C9}"/>
  </w:font>
  <w:font w:name="方正公文黑体">
    <w:altName w:val="黑体"/>
    <w:panose1 w:val="02000000000000000000"/>
    <w:charset w:val="86"/>
    <w:family w:val="auto"/>
    <w:pitch w:val="default"/>
    <w:sig w:usb0="00000000" w:usb1="00000000" w:usb2="00000010" w:usb3="00000000" w:csb0="00040000" w:csb1="00000000"/>
    <w:embedRegular r:id="rId6" w:fontKey="{F70374B9-1E2B-4299-BC58-48CE3E28EF98}"/>
  </w:font>
  <w:font w:name="方正仿宋简体">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1D16B">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6C3BC0D7">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6C3BC0D7">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6928A">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267A4D57"/>
    <w:rsid w:val="39BD2A73"/>
    <w:rsid w:val="437E4909"/>
    <w:rsid w:val="63D122BB"/>
    <w:rsid w:val="73023E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59</Pages>
  <Words>38595</Words>
  <Characters>40009</Characters>
  <Lines>1</Lines>
  <Paragraphs>1</Paragraphs>
  <TotalTime>11</TotalTime>
  <ScaleCrop>false</ScaleCrop>
  <LinksUpToDate>false</LinksUpToDate>
  <CharactersWithSpaces>40160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肖永政</cp:lastModifiedBy>
  <dcterms:modified xsi:type="dcterms:W3CDTF">2025-07-04T04:10:12Z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eyJoZGlkIjoiZDI3YWJjZDg3NTkxNTZiNmNlOTk1ZWQ2ZmE0OTAyYTUiLCJ1c2VySWQiOiI3MzcxMzQ3MDIifQ==</vt:lpwstr>
  </property>
  <property fmtid="{D5CDD505-2E9C-101B-9397-08002B2CF9AE}" pid="3" name="KSOProductBuildVer">
    <vt:lpwstr>2052-12.1.0.21915</vt:lpwstr>
  </property>
  <property fmtid="{D5CDD505-2E9C-101B-9397-08002B2CF9AE}" pid="4" name="ICV">
    <vt:lpwstr>A116A0C9D2E340FBB3CF65EA72AC2E88_13</vt:lpwstr>
  </property>
</Properties>
</file>